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4B83D" w14:textId="77777777" w:rsidR="00D07A97" w:rsidRPr="00D07A97" w:rsidRDefault="00D07A97" w:rsidP="00D07A97">
      <w:pPr>
        <w:pStyle w:val="Heading3"/>
        <w:shd w:val="clear" w:color="auto" w:fill="FFFFFF"/>
        <w:spacing w:before="300" w:after="150"/>
        <w:jc w:val="center"/>
        <w:rPr>
          <w:rFonts w:ascii="Helvetica" w:eastAsia="Times New Roman" w:hAnsi="Helvetica" w:cs="Helvetica"/>
          <w:color w:val="333333"/>
          <w:sz w:val="28"/>
          <w:szCs w:val="28"/>
        </w:rPr>
      </w:pPr>
      <w:bookmarkStart w:id="0" w:name="_GoBack"/>
      <w:bookmarkEnd w:id="0"/>
      <w:r>
        <w:rPr>
          <w:b/>
        </w:rPr>
        <w:br/>
      </w:r>
      <w:r w:rsidRPr="00D07A97">
        <w:rPr>
          <w:rFonts w:ascii="Helvetica" w:eastAsia="Times New Roman" w:hAnsi="Helvetica" w:cs="Helvetica"/>
          <w:color w:val="333333"/>
          <w:sz w:val="28"/>
          <w:szCs w:val="28"/>
        </w:rPr>
        <w:t>Revised Standards for Quality Improvement Reporting Excellence </w:t>
      </w:r>
      <w:bookmarkStart w:id="1" w:name="notes"/>
      <w:bookmarkEnd w:id="1"/>
    </w:p>
    <w:p w14:paraId="1AFCB602" w14:textId="5BC7624D" w:rsidR="00D07A97" w:rsidRPr="00D07A97" w:rsidRDefault="00D07A97" w:rsidP="00D07A97">
      <w:pPr>
        <w:shd w:val="clear" w:color="auto" w:fill="FFFFFF"/>
        <w:spacing w:before="300" w:after="150" w:line="240" w:lineRule="auto"/>
        <w:jc w:val="center"/>
        <w:outlineLvl w:val="2"/>
        <w:rPr>
          <w:rFonts w:ascii="Helvetica" w:eastAsia="Times New Roman" w:hAnsi="Helvetica" w:cs="Helvetica"/>
          <w:color w:val="333333"/>
          <w:sz w:val="28"/>
          <w:szCs w:val="28"/>
        </w:rPr>
      </w:pPr>
      <w:r w:rsidRPr="00D07A97">
        <w:rPr>
          <w:rFonts w:ascii="Helvetica" w:eastAsia="Times New Roman" w:hAnsi="Helvetica" w:cs="Helvetica"/>
          <w:color w:val="333333"/>
          <w:sz w:val="28"/>
          <w:szCs w:val="28"/>
        </w:rPr>
        <w:t>SQUIRE 2.0</w:t>
      </w:r>
      <w:r w:rsidR="00892898">
        <w:rPr>
          <w:rFonts w:ascii="Helvetica" w:eastAsia="Times New Roman" w:hAnsi="Helvetica" w:cs="Helvetica"/>
          <w:color w:val="333333"/>
          <w:sz w:val="28"/>
          <w:szCs w:val="28"/>
        </w:rPr>
        <w:br/>
      </w:r>
      <w:r w:rsidR="00CB3628">
        <w:rPr>
          <w:rFonts w:ascii="Helvetica" w:eastAsia="Times New Roman" w:hAnsi="Helvetica" w:cs="Helvetica"/>
          <w:color w:val="333333"/>
          <w:sz w:val="28"/>
          <w:szCs w:val="28"/>
        </w:rPr>
        <w:t>5.</w:t>
      </w:r>
      <w:r w:rsidR="002B26B2">
        <w:rPr>
          <w:rFonts w:ascii="Helvetica" w:eastAsia="Times New Roman" w:hAnsi="Helvetica" w:cs="Helvetica"/>
          <w:color w:val="333333"/>
          <w:sz w:val="28"/>
          <w:szCs w:val="28"/>
        </w:rPr>
        <w:t>9</w:t>
      </w:r>
      <w:r w:rsidR="00CB3628">
        <w:rPr>
          <w:rFonts w:ascii="Helvetica" w:eastAsia="Times New Roman" w:hAnsi="Helvetica" w:cs="Helvetica"/>
          <w:color w:val="333333"/>
          <w:sz w:val="28"/>
          <w:szCs w:val="28"/>
        </w:rPr>
        <w:t>.19</w:t>
      </w:r>
    </w:p>
    <w:p w14:paraId="22E05626" w14:textId="2EF3D8A5" w:rsidR="000C5E90" w:rsidRPr="000A4DBC" w:rsidRDefault="00D27247" w:rsidP="000C5E90">
      <w:pPr>
        <w:autoSpaceDE w:val="0"/>
        <w:autoSpaceDN w:val="0"/>
        <w:adjustRightInd w:val="0"/>
        <w:spacing w:after="0" w:line="240" w:lineRule="auto"/>
        <w:rPr>
          <w:rFonts w:cstheme="minorHAnsi"/>
          <w:b/>
        </w:rPr>
      </w:pPr>
      <w:r w:rsidRPr="006F05A3">
        <w:rPr>
          <w:b/>
        </w:rPr>
        <w:t xml:space="preserve">Title </w:t>
      </w:r>
      <w:r w:rsidR="006F05A3" w:rsidRPr="000800F2">
        <w:rPr>
          <w:rFonts w:cstheme="minorHAnsi"/>
          <w:b/>
        </w:rPr>
        <w:br/>
      </w:r>
      <w:r w:rsidR="006F05A3" w:rsidRPr="000800F2">
        <w:rPr>
          <w:rFonts w:cstheme="minorHAnsi"/>
          <w:bCs/>
        </w:rPr>
        <w:t>Improving Practice to Improve Quality of Life in Patients with Psoriasis and Psoriatic Arthritis</w:t>
      </w:r>
      <w:r w:rsidRPr="000800F2">
        <w:rPr>
          <w:rFonts w:cstheme="minorHAnsi"/>
        </w:rPr>
        <w:br/>
      </w:r>
      <w:r w:rsidR="001320D3">
        <w:rPr>
          <w:rFonts w:cstheme="minorHAnsi"/>
          <w:b/>
        </w:rPr>
        <w:br/>
      </w:r>
      <w:r w:rsidRPr="000A4DBC">
        <w:rPr>
          <w:rFonts w:cstheme="minorHAnsi"/>
          <w:b/>
        </w:rPr>
        <w:t>Abstract</w:t>
      </w:r>
      <w:r w:rsidR="000C5E90" w:rsidRPr="000A4DBC">
        <w:rPr>
          <w:rFonts w:cstheme="minorHAnsi"/>
          <w:b/>
        </w:rPr>
        <w:br/>
        <w:t>a.  Provide adequate information to aid in searching and indexing</w:t>
      </w:r>
      <w:bookmarkStart w:id="2" w:name="intro"/>
      <w:bookmarkEnd w:id="2"/>
    </w:p>
    <w:p w14:paraId="33EA3BE6" w14:textId="1717A24F" w:rsidR="00801CB2" w:rsidRPr="000800F2" w:rsidRDefault="000C5E90" w:rsidP="00801CB2">
      <w:pPr>
        <w:autoSpaceDE w:val="0"/>
        <w:autoSpaceDN w:val="0"/>
        <w:adjustRightInd w:val="0"/>
        <w:spacing w:after="0" w:line="240" w:lineRule="auto"/>
        <w:rPr>
          <w:rFonts w:cstheme="minorHAnsi"/>
        </w:rPr>
      </w:pPr>
      <w:r w:rsidRPr="000A4DBC">
        <w:rPr>
          <w:rFonts w:cstheme="minorHAnsi"/>
          <w:b/>
        </w:rPr>
        <w:t>b.  Summarize all key information from various sections of the text using the abstract format of the intended publication or a structured summary such as: background, local </w:t>
      </w:r>
      <w:hyperlink r:id="rId7" w:anchor="Problem" w:history="1">
        <w:r w:rsidRPr="000A4DBC">
          <w:rPr>
            <w:rStyle w:val="Hyperlink"/>
            <w:rFonts w:cstheme="minorHAnsi"/>
            <w:b/>
          </w:rPr>
          <w:t>problem</w:t>
        </w:r>
      </w:hyperlink>
      <w:r w:rsidRPr="000A4DBC">
        <w:rPr>
          <w:rFonts w:cstheme="minorHAnsi"/>
          <w:b/>
        </w:rPr>
        <w:t>, methods, interventions, results, conclusions</w:t>
      </w:r>
      <w:r w:rsidR="001D1FB7" w:rsidRPr="000A4DBC">
        <w:rPr>
          <w:rFonts w:cstheme="minorHAnsi"/>
          <w:b/>
        </w:rPr>
        <w:br/>
      </w:r>
      <w:r w:rsidR="001D1FB7" w:rsidRPr="001D1FB7">
        <w:rPr>
          <w:rFonts w:cstheme="minorHAnsi"/>
          <w:i/>
          <w:u w:val="single"/>
        </w:rPr>
        <w:t>Background</w:t>
      </w:r>
    </w:p>
    <w:p w14:paraId="10513E89" w14:textId="4A23B434" w:rsidR="00810E05" w:rsidRPr="00810E05" w:rsidRDefault="00810E05" w:rsidP="00810E05">
      <w:pPr>
        <w:autoSpaceDE w:val="0"/>
        <w:autoSpaceDN w:val="0"/>
        <w:adjustRightInd w:val="0"/>
        <w:spacing w:after="0" w:line="240" w:lineRule="auto"/>
        <w:rPr>
          <w:rFonts w:cstheme="minorHAnsi"/>
        </w:rPr>
      </w:pPr>
      <w:bookmarkStart w:id="3" w:name="_Hlk6572270"/>
      <w:r w:rsidRPr="00810E05">
        <w:rPr>
          <w:rFonts w:cstheme="minorHAnsi"/>
        </w:rPr>
        <w:t xml:space="preserve">The goal of the project </w:t>
      </w:r>
      <w:r w:rsidR="001D5A78">
        <w:rPr>
          <w:rFonts w:cstheme="minorHAnsi"/>
        </w:rPr>
        <w:t>was</w:t>
      </w:r>
      <w:r w:rsidRPr="00810E05">
        <w:rPr>
          <w:rFonts w:cstheme="minorHAnsi"/>
        </w:rPr>
        <w:t xml:space="preserve"> to improve quality of life (QOL) in patients with psoriasis and psoriatic</w:t>
      </w:r>
    </w:p>
    <w:p w14:paraId="17D8D361" w14:textId="77777777" w:rsidR="00810E05" w:rsidRPr="00810E05" w:rsidRDefault="00810E05" w:rsidP="00810E05">
      <w:pPr>
        <w:autoSpaceDE w:val="0"/>
        <w:autoSpaceDN w:val="0"/>
        <w:adjustRightInd w:val="0"/>
        <w:spacing w:after="0" w:line="240" w:lineRule="auto"/>
        <w:rPr>
          <w:rFonts w:cstheme="minorHAnsi"/>
        </w:rPr>
      </w:pPr>
      <w:r w:rsidRPr="00810E05">
        <w:rPr>
          <w:rFonts w:cstheme="minorHAnsi"/>
        </w:rPr>
        <w:t>arthritis (PsA) through improving physician and non-physician clinicians’ knowledge,</w:t>
      </w:r>
    </w:p>
    <w:p w14:paraId="74320042" w14:textId="77777777" w:rsidR="00810E05" w:rsidRPr="00810E05" w:rsidRDefault="00810E05" w:rsidP="00810E05">
      <w:pPr>
        <w:autoSpaceDE w:val="0"/>
        <w:autoSpaceDN w:val="0"/>
        <w:adjustRightInd w:val="0"/>
        <w:spacing w:after="0" w:line="240" w:lineRule="auto"/>
        <w:rPr>
          <w:rFonts w:cstheme="minorHAnsi"/>
        </w:rPr>
      </w:pPr>
      <w:r w:rsidRPr="00810E05">
        <w:rPr>
          <w:rFonts w:cstheme="minorHAnsi"/>
        </w:rPr>
        <w:t>competence, confidence, and performance in assessing psoriasis, PsA, and QOL using scales and</w:t>
      </w:r>
    </w:p>
    <w:p w14:paraId="0C59F787" w14:textId="2ED257B6" w:rsidR="001D5A78" w:rsidRPr="0067366F" w:rsidRDefault="00810E05" w:rsidP="001D5A78">
      <w:pPr>
        <w:autoSpaceDE w:val="0"/>
        <w:autoSpaceDN w:val="0"/>
        <w:adjustRightInd w:val="0"/>
        <w:spacing w:after="0" w:line="240" w:lineRule="auto"/>
      </w:pPr>
      <w:r w:rsidRPr="00810E05">
        <w:rPr>
          <w:rFonts w:cstheme="minorHAnsi"/>
        </w:rPr>
        <w:t xml:space="preserve">tools. </w:t>
      </w:r>
      <w:r w:rsidR="001D5A78">
        <w:rPr>
          <w:rFonts w:cstheme="minorHAnsi"/>
        </w:rPr>
        <w:t>This</w:t>
      </w:r>
      <w:r w:rsidR="001D5A78" w:rsidRPr="0F75BF01">
        <w:t xml:space="preserve"> goal also directly aligned with our partner, the National Psoriasis Foundation</w:t>
      </w:r>
      <w:r w:rsidR="00475E50">
        <w:t>’s (NPF) organizational goal</w:t>
      </w:r>
      <w:r w:rsidR="001D5A78" w:rsidRPr="0F75BF01">
        <w:t xml:space="preserve">, which was to reduce the percentage of individuals who report their disease to be a problem in their everyday life. </w:t>
      </w:r>
    </w:p>
    <w:p w14:paraId="3D40E3E1" w14:textId="0F2AAFDA" w:rsidR="00810E05" w:rsidRPr="00810E05" w:rsidRDefault="00810E05" w:rsidP="00810E05">
      <w:pPr>
        <w:autoSpaceDE w:val="0"/>
        <w:autoSpaceDN w:val="0"/>
        <w:adjustRightInd w:val="0"/>
        <w:spacing w:after="0" w:line="240" w:lineRule="auto"/>
        <w:rPr>
          <w:rFonts w:cstheme="minorHAnsi"/>
        </w:rPr>
      </w:pPr>
      <w:r w:rsidRPr="00810E05">
        <w:rPr>
          <w:rFonts w:cstheme="minorHAnsi"/>
        </w:rPr>
        <w:t>To achieve this</w:t>
      </w:r>
      <w:r w:rsidR="001D5A78">
        <w:rPr>
          <w:rFonts w:cstheme="minorHAnsi"/>
        </w:rPr>
        <w:t xml:space="preserve"> goal</w:t>
      </w:r>
      <w:r w:rsidRPr="00810E05">
        <w:rPr>
          <w:rFonts w:cstheme="minorHAnsi"/>
        </w:rPr>
        <w:t>, the project target</w:t>
      </w:r>
      <w:r>
        <w:rPr>
          <w:rFonts w:cstheme="minorHAnsi"/>
        </w:rPr>
        <w:t>ed</w:t>
      </w:r>
      <w:r w:rsidRPr="00810E05">
        <w:rPr>
          <w:rFonts w:cstheme="minorHAnsi"/>
        </w:rPr>
        <w:t xml:space="preserve"> dermatologists, other interested physicians, and</w:t>
      </w:r>
    </w:p>
    <w:p w14:paraId="63A4C849" w14:textId="2591315D" w:rsidR="0067366F" w:rsidRPr="0067366F" w:rsidRDefault="00810E05" w:rsidP="00810E05">
      <w:pPr>
        <w:autoSpaceDE w:val="0"/>
        <w:autoSpaceDN w:val="0"/>
        <w:adjustRightInd w:val="0"/>
        <w:spacing w:after="0" w:line="240" w:lineRule="auto"/>
      </w:pPr>
      <w:r w:rsidRPr="00810E05">
        <w:rPr>
          <w:rFonts w:cstheme="minorHAnsi"/>
        </w:rPr>
        <w:t>non-physician</w:t>
      </w:r>
      <w:r>
        <w:rPr>
          <w:rFonts w:cstheme="minorHAnsi"/>
        </w:rPr>
        <w:t>s</w:t>
      </w:r>
      <w:r w:rsidR="001D5A78">
        <w:rPr>
          <w:rFonts w:cstheme="minorHAnsi"/>
        </w:rPr>
        <w:t xml:space="preserve"> to participate in an educational intervention followed by activities to implement learnings from the workshop.</w:t>
      </w:r>
      <w:r w:rsidR="00FC66FD">
        <w:rPr>
          <w:rFonts w:cstheme="minorHAnsi"/>
        </w:rPr>
        <w:t xml:space="preserve"> </w:t>
      </w:r>
      <w:bookmarkStart w:id="4" w:name="_Hlk6570823"/>
      <w:bookmarkEnd w:id="3"/>
      <w:bookmarkEnd w:id="4"/>
    </w:p>
    <w:p w14:paraId="50174166" w14:textId="77777777" w:rsidR="00127E22" w:rsidRPr="00127E22" w:rsidRDefault="001D1FB7" w:rsidP="00127E22">
      <w:pPr>
        <w:autoSpaceDE w:val="0"/>
        <w:autoSpaceDN w:val="0"/>
        <w:adjustRightInd w:val="0"/>
        <w:spacing w:after="0" w:line="240" w:lineRule="auto"/>
        <w:rPr>
          <w:rFonts w:cstheme="minorHAnsi"/>
        </w:rPr>
      </w:pPr>
      <w:r w:rsidRPr="001D1FB7">
        <w:rPr>
          <w:rFonts w:cstheme="minorHAnsi"/>
          <w:i/>
          <w:u w:val="single"/>
        </w:rPr>
        <w:t>Local Problem</w:t>
      </w:r>
      <w:r w:rsidR="00801CB2">
        <w:rPr>
          <w:rFonts w:cstheme="minorHAnsi"/>
          <w:i/>
          <w:u w:val="single"/>
        </w:rPr>
        <w:br/>
      </w:r>
      <w:r w:rsidR="00127E22" w:rsidRPr="00127E22">
        <w:rPr>
          <w:rFonts w:cstheme="minorHAnsi"/>
        </w:rPr>
        <w:t>It has been shown that a low QOL correlates with greater disease severity in patients with</w:t>
      </w:r>
    </w:p>
    <w:p w14:paraId="2E116199" w14:textId="55D00498" w:rsidR="00127E22" w:rsidRPr="00127E22" w:rsidRDefault="00127E22" w:rsidP="00127E22">
      <w:pPr>
        <w:autoSpaceDE w:val="0"/>
        <w:autoSpaceDN w:val="0"/>
        <w:adjustRightInd w:val="0"/>
        <w:spacing w:after="0" w:line="240" w:lineRule="auto"/>
        <w:rPr>
          <w:rFonts w:cstheme="minorHAnsi"/>
        </w:rPr>
      </w:pPr>
      <w:r w:rsidRPr="00127E22">
        <w:rPr>
          <w:rFonts w:cstheme="minorHAnsi"/>
        </w:rPr>
        <w:t>psoriasis and PsA.</w:t>
      </w:r>
      <w:r w:rsidRPr="00127E22">
        <w:rPr>
          <w:rFonts w:cstheme="minorHAnsi"/>
          <w:vertAlign w:val="superscript"/>
        </w:rPr>
        <w:t>1-3</w:t>
      </w:r>
      <w:r w:rsidRPr="00127E22">
        <w:rPr>
          <w:rFonts w:cstheme="minorHAnsi"/>
        </w:rPr>
        <w:t xml:space="preserve"> In addition, over 50% of patients with psoriasis and over 45% of patients with PsA report dissatisfaction with their treatment.</w:t>
      </w:r>
      <w:r w:rsidRPr="00127E22">
        <w:rPr>
          <w:rFonts w:cstheme="minorHAnsi"/>
          <w:vertAlign w:val="superscript"/>
        </w:rPr>
        <w:t>1,</w:t>
      </w:r>
      <w:r w:rsidRPr="00127E22">
        <w:rPr>
          <w:rFonts w:cstheme="minorHAnsi"/>
        </w:rPr>
        <w:t xml:space="preserve"> </w:t>
      </w:r>
      <w:r w:rsidRPr="00127E22">
        <w:rPr>
          <w:rFonts w:cstheme="minorHAnsi"/>
          <w:vertAlign w:val="superscript"/>
        </w:rPr>
        <w:t>4,</w:t>
      </w:r>
      <w:r w:rsidRPr="00127E22">
        <w:rPr>
          <w:rFonts w:cstheme="minorHAnsi"/>
        </w:rPr>
        <w:t xml:space="preserve"> </w:t>
      </w:r>
      <w:r w:rsidRPr="00127E22">
        <w:rPr>
          <w:rFonts w:cstheme="minorHAnsi"/>
          <w:vertAlign w:val="superscript"/>
        </w:rPr>
        <w:t>5</w:t>
      </w:r>
      <w:r w:rsidRPr="00127E22">
        <w:rPr>
          <w:rFonts w:cstheme="minorHAnsi"/>
        </w:rPr>
        <w:t xml:space="preserve"> It is reasonable to predict that increased treatment satisfaction will accompany increases in QOL for patients with psoriasis  and PsA; however, both are dependent upon proper disease assessment and management. The importance of disease assessment is exemplified by a known practice gap in the assessment of PsA. Estimates of up to 42% of patients with psoriasis develop PsA,</w:t>
      </w:r>
      <w:r w:rsidRPr="00127E22">
        <w:rPr>
          <w:rFonts w:cstheme="minorHAnsi"/>
          <w:vertAlign w:val="superscript"/>
        </w:rPr>
        <w:t>2,</w:t>
      </w:r>
      <w:r w:rsidRPr="00127E22">
        <w:rPr>
          <w:rFonts w:cstheme="minorHAnsi"/>
        </w:rPr>
        <w:t xml:space="preserve"> </w:t>
      </w:r>
      <w:r w:rsidRPr="00127E22">
        <w:rPr>
          <w:rFonts w:cstheme="minorHAnsi"/>
          <w:vertAlign w:val="superscript"/>
        </w:rPr>
        <w:t>6</w:t>
      </w:r>
      <w:r w:rsidRPr="00127E22">
        <w:rPr>
          <w:rFonts w:cstheme="minorHAnsi"/>
        </w:rPr>
        <w:t xml:space="preserve"> yet a recent meta-analysis has reported that PsA remains undiagnosed 15.5% of the time.</w:t>
      </w:r>
      <w:r w:rsidRPr="00127E22">
        <w:rPr>
          <w:rFonts w:cstheme="minorHAnsi"/>
          <w:vertAlign w:val="superscript"/>
        </w:rPr>
        <w:t>7</w:t>
      </w:r>
      <w:r w:rsidRPr="00127E22">
        <w:rPr>
          <w:rFonts w:cstheme="minorHAnsi"/>
        </w:rPr>
        <w:t xml:space="preserve"> There are multiple knowledge,</w:t>
      </w:r>
      <w:r>
        <w:rPr>
          <w:rFonts w:cstheme="minorHAnsi"/>
        </w:rPr>
        <w:t xml:space="preserve"> </w:t>
      </w:r>
      <w:r w:rsidRPr="00127E22">
        <w:rPr>
          <w:rFonts w:cstheme="minorHAnsi"/>
        </w:rPr>
        <w:t>competence, and practice gaps that may contribute to these unfortunate patient outcomes.</w:t>
      </w:r>
    </w:p>
    <w:p w14:paraId="1309DEF5" w14:textId="384B96D8" w:rsidR="00E3278B" w:rsidRDefault="001D1FB7" w:rsidP="006240AE">
      <w:pPr>
        <w:autoSpaceDE w:val="0"/>
        <w:autoSpaceDN w:val="0"/>
        <w:adjustRightInd w:val="0"/>
        <w:spacing w:after="0" w:line="240" w:lineRule="auto"/>
        <w:rPr>
          <w:rFonts w:cstheme="minorHAnsi"/>
        </w:rPr>
      </w:pPr>
      <w:r w:rsidRPr="001D1FB7">
        <w:rPr>
          <w:rFonts w:cstheme="minorHAnsi"/>
          <w:i/>
          <w:u w:val="single"/>
        </w:rPr>
        <w:t>Methods</w:t>
      </w:r>
      <w:r>
        <w:rPr>
          <w:rFonts w:cstheme="minorHAnsi"/>
          <w:i/>
          <w:u w:val="single"/>
        </w:rPr>
        <w:t xml:space="preserve"> and Interventions</w:t>
      </w:r>
      <w:r>
        <w:rPr>
          <w:rFonts w:cstheme="minorHAnsi"/>
        </w:rPr>
        <w:br/>
      </w:r>
      <w:r w:rsidR="00154D30">
        <w:rPr>
          <w:rFonts w:cstheme="minorHAnsi"/>
        </w:rPr>
        <w:t xml:space="preserve">The project design included </w:t>
      </w:r>
      <w:r w:rsidR="001D5A78">
        <w:rPr>
          <w:rFonts w:cstheme="minorHAnsi"/>
        </w:rPr>
        <w:t>an</w:t>
      </w:r>
      <w:r w:rsidR="00BB56DD">
        <w:rPr>
          <w:rFonts w:cstheme="minorHAnsi"/>
        </w:rPr>
        <w:t xml:space="preserve"> educational intervention in the form of </w:t>
      </w:r>
      <w:r w:rsidR="00154D30">
        <w:rPr>
          <w:rFonts w:cstheme="minorHAnsi"/>
        </w:rPr>
        <w:t>a</w:t>
      </w:r>
      <w:r w:rsidR="006F05A3" w:rsidRPr="000800F2">
        <w:rPr>
          <w:rFonts w:cstheme="minorHAnsi"/>
        </w:rPr>
        <w:t xml:space="preserve"> </w:t>
      </w:r>
      <w:r w:rsidR="008A3B75">
        <w:rPr>
          <w:rFonts w:cstheme="minorHAnsi"/>
        </w:rPr>
        <w:t xml:space="preserve">live </w:t>
      </w:r>
      <w:r w:rsidR="00BB56DD">
        <w:rPr>
          <w:rFonts w:cstheme="minorHAnsi"/>
        </w:rPr>
        <w:t>workshop</w:t>
      </w:r>
      <w:r w:rsidR="00867C4B">
        <w:rPr>
          <w:rFonts w:cstheme="minorHAnsi"/>
        </w:rPr>
        <w:t>,</w:t>
      </w:r>
      <w:r w:rsidR="00BB56DD">
        <w:rPr>
          <w:rFonts w:cstheme="minorHAnsi"/>
        </w:rPr>
        <w:t xml:space="preserve"> </w:t>
      </w:r>
      <w:r w:rsidR="005347C1">
        <w:rPr>
          <w:rFonts w:cstheme="minorHAnsi"/>
        </w:rPr>
        <w:t xml:space="preserve">comprised of </w:t>
      </w:r>
      <w:r w:rsidR="006F05A3" w:rsidRPr="000800F2">
        <w:rPr>
          <w:rFonts w:cstheme="minorHAnsi"/>
        </w:rPr>
        <w:t>didactic presentations, interactive patient assessment demonstrations, virtual patient assessment experiences</w:t>
      </w:r>
      <w:r w:rsidR="00127E22">
        <w:rPr>
          <w:rFonts w:cstheme="minorHAnsi"/>
        </w:rPr>
        <w:t xml:space="preserve"> and </w:t>
      </w:r>
      <w:r w:rsidR="00B60EEE">
        <w:rPr>
          <w:rFonts w:cstheme="minorHAnsi"/>
        </w:rPr>
        <w:t>implementation resources</w:t>
      </w:r>
      <w:r w:rsidR="008A3B75">
        <w:rPr>
          <w:rFonts w:cstheme="minorHAnsi"/>
        </w:rPr>
        <w:t>.</w:t>
      </w:r>
      <w:r w:rsidR="00154D30">
        <w:rPr>
          <w:rFonts w:cstheme="minorHAnsi"/>
        </w:rPr>
        <w:t xml:space="preserve"> </w:t>
      </w:r>
      <w:r w:rsidR="00EA6087">
        <w:rPr>
          <w:rFonts w:cstheme="minorHAnsi"/>
        </w:rPr>
        <w:t>P</w:t>
      </w:r>
      <w:r w:rsidR="006F05A3" w:rsidRPr="000800F2">
        <w:rPr>
          <w:rFonts w:cstheme="minorHAnsi"/>
        </w:rPr>
        <w:t>articipants complete</w:t>
      </w:r>
      <w:r>
        <w:rPr>
          <w:rFonts w:cstheme="minorHAnsi"/>
        </w:rPr>
        <w:t>d</w:t>
      </w:r>
      <w:r w:rsidR="006F05A3" w:rsidRPr="000800F2">
        <w:rPr>
          <w:rFonts w:cstheme="minorHAnsi"/>
        </w:rPr>
        <w:t xml:space="preserve"> pre</w:t>
      </w:r>
      <w:r w:rsidR="00867C4B">
        <w:rPr>
          <w:rFonts w:cstheme="minorHAnsi"/>
        </w:rPr>
        <w:t>/</w:t>
      </w:r>
      <w:bookmarkStart w:id="5" w:name="_Hlk7504211"/>
      <w:r w:rsidR="008029A7">
        <w:rPr>
          <w:rFonts w:cstheme="minorHAnsi"/>
        </w:rPr>
        <w:t>post</w:t>
      </w:r>
      <w:r w:rsidR="00867C4B">
        <w:rPr>
          <w:rFonts w:cstheme="minorHAnsi"/>
        </w:rPr>
        <w:t xml:space="preserve"> activity</w:t>
      </w:r>
      <w:r w:rsidR="008029A7">
        <w:rPr>
          <w:rFonts w:cstheme="minorHAnsi"/>
        </w:rPr>
        <w:t xml:space="preserve"> </w:t>
      </w:r>
      <w:r w:rsidR="006F05A3" w:rsidRPr="000800F2">
        <w:rPr>
          <w:rFonts w:cstheme="minorHAnsi"/>
        </w:rPr>
        <w:t xml:space="preserve">questionnaires </w:t>
      </w:r>
      <w:bookmarkEnd w:id="5"/>
      <w:r w:rsidR="006F05A3" w:rsidRPr="000800F2">
        <w:rPr>
          <w:rFonts w:cstheme="minorHAnsi"/>
        </w:rPr>
        <w:t xml:space="preserve">to measure the direct impact of the workshop on their knowledge, competence, confidence, and self-reported practice </w:t>
      </w:r>
      <w:r w:rsidR="00867C4B">
        <w:rPr>
          <w:rFonts w:cstheme="minorHAnsi"/>
        </w:rPr>
        <w:t>related to the content of the activity</w:t>
      </w:r>
      <w:r w:rsidR="006F05A3" w:rsidRPr="000800F2">
        <w:rPr>
          <w:rFonts w:cstheme="minorHAnsi"/>
        </w:rPr>
        <w:t>. After the workshop, participants complete</w:t>
      </w:r>
      <w:r>
        <w:rPr>
          <w:rFonts w:cstheme="minorHAnsi"/>
        </w:rPr>
        <w:t>d</w:t>
      </w:r>
      <w:r w:rsidR="006F05A3" w:rsidRPr="000800F2">
        <w:rPr>
          <w:rFonts w:cstheme="minorHAnsi"/>
        </w:rPr>
        <w:t xml:space="preserve"> an evaluation to measure the perceived impact the workshop </w:t>
      </w:r>
      <w:r w:rsidR="00B02C55">
        <w:rPr>
          <w:rFonts w:cstheme="minorHAnsi"/>
        </w:rPr>
        <w:t>would</w:t>
      </w:r>
      <w:r w:rsidR="006F05A3" w:rsidRPr="000800F2">
        <w:rPr>
          <w:rFonts w:cstheme="minorHAnsi"/>
        </w:rPr>
        <w:t xml:space="preserve"> have on their knowledge and practice. </w:t>
      </w:r>
      <w:r w:rsidR="005347C1">
        <w:rPr>
          <w:rFonts w:cstheme="minorHAnsi"/>
        </w:rPr>
        <w:t>A control group completed the same pre</w:t>
      </w:r>
      <w:r w:rsidR="00867C4B">
        <w:rPr>
          <w:rFonts w:cstheme="minorHAnsi"/>
        </w:rPr>
        <w:t>/</w:t>
      </w:r>
      <w:r w:rsidR="005347C1">
        <w:rPr>
          <w:rFonts w:cstheme="minorHAnsi"/>
        </w:rPr>
        <w:t xml:space="preserve">post </w:t>
      </w:r>
      <w:r w:rsidR="00740596">
        <w:rPr>
          <w:rFonts w:cstheme="minorHAnsi"/>
        </w:rPr>
        <w:t>questionnaires</w:t>
      </w:r>
      <w:r w:rsidR="005347C1">
        <w:rPr>
          <w:rFonts w:cstheme="minorHAnsi"/>
        </w:rPr>
        <w:t xml:space="preserve"> but did not receive the educational intervention</w:t>
      </w:r>
      <w:r w:rsidR="001D5A78">
        <w:rPr>
          <w:rFonts w:cstheme="minorHAnsi"/>
        </w:rPr>
        <w:t>.</w:t>
      </w:r>
      <w:r w:rsidR="00805B42">
        <w:rPr>
          <w:rFonts w:cstheme="minorHAnsi"/>
        </w:rPr>
        <w:t xml:space="preserve"> A comparison of </w:t>
      </w:r>
      <w:r w:rsidR="00874BFF">
        <w:rPr>
          <w:rFonts w:cstheme="minorHAnsi"/>
        </w:rPr>
        <w:t xml:space="preserve">the intervention workshop and the control </w:t>
      </w:r>
      <w:r w:rsidR="005347C1">
        <w:rPr>
          <w:rFonts w:cstheme="minorHAnsi"/>
        </w:rPr>
        <w:t>group</w:t>
      </w:r>
      <w:r w:rsidR="00874BFF">
        <w:rPr>
          <w:rFonts w:cstheme="minorHAnsi"/>
        </w:rPr>
        <w:t xml:space="preserve"> </w:t>
      </w:r>
      <w:r w:rsidR="00805B42">
        <w:rPr>
          <w:rFonts w:cstheme="minorHAnsi"/>
        </w:rPr>
        <w:t>pre</w:t>
      </w:r>
      <w:r w:rsidR="00E3278B">
        <w:rPr>
          <w:rFonts w:cstheme="minorHAnsi"/>
        </w:rPr>
        <w:t>/</w:t>
      </w:r>
      <w:r w:rsidR="00805B42">
        <w:rPr>
          <w:rFonts w:cstheme="minorHAnsi"/>
        </w:rPr>
        <w:t>post</w:t>
      </w:r>
      <w:r w:rsidR="00EA4757">
        <w:rPr>
          <w:rFonts w:cstheme="minorHAnsi"/>
        </w:rPr>
        <w:t xml:space="preserve"> </w:t>
      </w:r>
      <w:r w:rsidR="00874BFF" w:rsidRPr="000800F2">
        <w:rPr>
          <w:rFonts w:cstheme="minorHAnsi"/>
        </w:rPr>
        <w:t xml:space="preserve">questionnaires </w:t>
      </w:r>
      <w:r w:rsidR="00874BFF">
        <w:rPr>
          <w:rFonts w:cstheme="minorHAnsi"/>
        </w:rPr>
        <w:t xml:space="preserve">was used to determine any differences in </w:t>
      </w:r>
      <w:r w:rsidR="00874BFF" w:rsidRPr="000800F2">
        <w:rPr>
          <w:rFonts w:cstheme="minorHAnsi"/>
        </w:rPr>
        <w:t xml:space="preserve">impact of the workshop on </w:t>
      </w:r>
      <w:r w:rsidR="00457E59">
        <w:rPr>
          <w:rFonts w:cstheme="minorHAnsi"/>
        </w:rPr>
        <w:t xml:space="preserve">the </w:t>
      </w:r>
      <w:r w:rsidR="00874BFF">
        <w:rPr>
          <w:rFonts w:cstheme="minorHAnsi"/>
        </w:rPr>
        <w:t xml:space="preserve">participants </w:t>
      </w:r>
      <w:r w:rsidR="00874BFF" w:rsidRPr="000800F2">
        <w:rPr>
          <w:rFonts w:cstheme="minorHAnsi"/>
        </w:rPr>
        <w:t>knowledge, competence, confidence, and self-reported practice patterns.</w:t>
      </w:r>
      <w:r w:rsidR="00874BFF">
        <w:rPr>
          <w:rFonts w:cstheme="minorHAnsi"/>
        </w:rPr>
        <w:t xml:space="preserve"> After the intervention workshop, p</w:t>
      </w:r>
      <w:r w:rsidR="006F05A3" w:rsidRPr="000800F2">
        <w:rPr>
          <w:rFonts w:cstheme="minorHAnsi"/>
        </w:rPr>
        <w:t xml:space="preserve">articipants </w:t>
      </w:r>
      <w:r>
        <w:rPr>
          <w:rFonts w:cstheme="minorHAnsi"/>
        </w:rPr>
        <w:t xml:space="preserve">were asked to </w:t>
      </w:r>
      <w:r w:rsidR="006F05A3" w:rsidRPr="000800F2">
        <w:rPr>
          <w:rFonts w:cstheme="minorHAnsi"/>
        </w:rPr>
        <w:t xml:space="preserve">continue their learning experience by completing baseline and follow-up </w:t>
      </w:r>
      <w:r w:rsidR="003A6D03">
        <w:rPr>
          <w:rFonts w:cstheme="minorHAnsi"/>
        </w:rPr>
        <w:lastRenderedPageBreak/>
        <w:t>implementation</w:t>
      </w:r>
      <w:r w:rsidR="00457E59">
        <w:rPr>
          <w:rFonts w:cstheme="minorHAnsi"/>
        </w:rPr>
        <w:t xml:space="preserve"> activities</w:t>
      </w:r>
      <w:r w:rsidR="006F05A3" w:rsidRPr="000800F2">
        <w:rPr>
          <w:rFonts w:cstheme="minorHAnsi"/>
        </w:rPr>
        <w:t>, completing a follow-up questionnaire, and recruiting</w:t>
      </w:r>
      <w:r w:rsidR="00127E22">
        <w:rPr>
          <w:rFonts w:cstheme="minorHAnsi"/>
        </w:rPr>
        <w:t xml:space="preserve"> their</w:t>
      </w:r>
      <w:r w:rsidR="006F05A3" w:rsidRPr="000800F2">
        <w:rPr>
          <w:rFonts w:cstheme="minorHAnsi"/>
        </w:rPr>
        <w:t xml:space="preserve"> patients to complete baseline and follow-up </w:t>
      </w:r>
      <w:r w:rsidR="00154D30">
        <w:rPr>
          <w:rFonts w:cstheme="minorHAnsi"/>
        </w:rPr>
        <w:t xml:space="preserve">QOL </w:t>
      </w:r>
      <w:r w:rsidR="00127E22">
        <w:rPr>
          <w:rFonts w:cstheme="minorHAnsi"/>
        </w:rPr>
        <w:t>surveys</w:t>
      </w:r>
      <w:r w:rsidR="006F05A3" w:rsidRPr="000800F2">
        <w:rPr>
          <w:rFonts w:cstheme="minorHAnsi"/>
        </w:rPr>
        <w:t xml:space="preserve">. </w:t>
      </w:r>
      <w:r w:rsidR="00457E59">
        <w:rPr>
          <w:rFonts w:cstheme="minorHAnsi"/>
        </w:rPr>
        <w:t>C</w:t>
      </w:r>
      <w:r w:rsidR="006F05A3" w:rsidRPr="000800F2">
        <w:rPr>
          <w:rFonts w:cstheme="minorHAnsi"/>
        </w:rPr>
        <w:t>hart audit</w:t>
      </w:r>
      <w:r w:rsidR="00457E59">
        <w:rPr>
          <w:rFonts w:cstheme="minorHAnsi"/>
        </w:rPr>
        <w:t xml:space="preserve"> data</w:t>
      </w:r>
      <w:r w:rsidR="006F05A3" w:rsidRPr="000800F2">
        <w:rPr>
          <w:rFonts w:cstheme="minorHAnsi"/>
        </w:rPr>
        <w:t xml:space="preserve"> </w:t>
      </w:r>
      <w:r>
        <w:rPr>
          <w:rFonts w:cstheme="minorHAnsi"/>
        </w:rPr>
        <w:t xml:space="preserve">were to </w:t>
      </w:r>
      <w:r w:rsidR="006F05A3" w:rsidRPr="000800F2">
        <w:rPr>
          <w:rFonts w:cstheme="minorHAnsi"/>
        </w:rPr>
        <w:t xml:space="preserve">measure documented improvements in participants’ practice, while the follow-up questionnaire </w:t>
      </w:r>
      <w:r>
        <w:rPr>
          <w:rFonts w:cstheme="minorHAnsi"/>
        </w:rPr>
        <w:t>was to</w:t>
      </w:r>
      <w:r w:rsidR="006F05A3" w:rsidRPr="000800F2">
        <w:rPr>
          <w:rFonts w:cstheme="minorHAnsi"/>
        </w:rPr>
        <w:t xml:space="preserve"> measure participants’ retention of knowledge, competence, and confidence. These data </w:t>
      </w:r>
      <w:r>
        <w:rPr>
          <w:rFonts w:cstheme="minorHAnsi"/>
        </w:rPr>
        <w:t xml:space="preserve">were to </w:t>
      </w:r>
      <w:r w:rsidR="006F05A3" w:rsidRPr="000800F2">
        <w:rPr>
          <w:rFonts w:cstheme="minorHAnsi"/>
        </w:rPr>
        <w:t xml:space="preserve">be correlated with improvements in patients’ QOL and treatment satisfaction as measured by the patient </w:t>
      </w:r>
      <w:r w:rsidR="00127E22">
        <w:rPr>
          <w:rFonts w:cstheme="minorHAnsi"/>
        </w:rPr>
        <w:t>surveys</w:t>
      </w:r>
      <w:r w:rsidR="006F05A3" w:rsidRPr="000800F2">
        <w:rPr>
          <w:rFonts w:cstheme="minorHAnsi"/>
        </w:rPr>
        <w:t xml:space="preserve"> to determine if a blended learning experience</w:t>
      </w:r>
      <w:r>
        <w:rPr>
          <w:rFonts w:cstheme="minorHAnsi"/>
        </w:rPr>
        <w:t>,</w:t>
      </w:r>
      <w:r w:rsidR="006F05A3" w:rsidRPr="000800F2">
        <w:rPr>
          <w:rFonts w:cstheme="minorHAnsi"/>
        </w:rPr>
        <w:t xml:space="preserve"> like the one described here</w:t>
      </w:r>
      <w:r>
        <w:rPr>
          <w:rFonts w:cstheme="minorHAnsi"/>
        </w:rPr>
        <w:t>,</w:t>
      </w:r>
      <w:r w:rsidR="006F05A3" w:rsidRPr="000800F2">
        <w:rPr>
          <w:rFonts w:cstheme="minorHAnsi"/>
        </w:rPr>
        <w:t xml:space="preserve"> le</w:t>
      </w:r>
      <w:r w:rsidR="00127E22">
        <w:rPr>
          <w:rFonts w:cstheme="minorHAnsi"/>
        </w:rPr>
        <w:t>d</w:t>
      </w:r>
      <w:r w:rsidR="006F05A3" w:rsidRPr="000800F2">
        <w:rPr>
          <w:rFonts w:cstheme="minorHAnsi"/>
        </w:rPr>
        <w:t xml:space="preserve"> to improved QOL among patients with psoriasis and PsA.</w:t>
      </w:r>
      <w:r w:rsidR="008A3B75">
        <w:rPr>
          <w:rFonts w:cstheme="minorHAnsi"/>
        </w:rPr>
        <w:t xml:space="preserve"> </w:t>
      </w:r>
      <w:r w:rsidR="00EA6087">
        <w:rPr>
          <w:rFonts w:cstheme="minorHAnsi"/>
        </w:rPr>
        <w:t xml:space="preserve">The workshop and post intervention activities were offered three times and marketed to the target audience over </w:t>
      </w:r>
      <w:r w:rsidR="00457E59">
        <w:rPr>
          <w:rFonts w:cstheme="minorHAnsi"/>
        </w:rPr>
        <w:t>a</w:t>
      </w:r>
      <w:r w:rsidR="00EA6087">
        <w:rPr>
          <w:rFonts w:cstheme="minorHAnsi"/>
        </w:rPr>
        <w:t xml:space="preserve"> </w:t>
      </w:r>
      <w:r w:rsidR="00740596">
        <w:rPr>
          <w:rFonts w:cstheme="minorHAnsi"/>
        </w:rPr>
        <w:t>2-</w:t>
      </w:r>
      <w:r w:rsidR="00EA6087">
        <w:rPr>
          <w:rFonts w:cstheme="minorHAnsi"/>
        </w:rPr>
        <w:t xml:space="preserve">year period. </w:t>
      </w:r>
      <w:r w:rsidR="008A3B75">
        <w:rPr>
          <w:rFonts w:cstheme="minorHAnsi"/>
        </w:rPr>
        <w:t>700 learners were anticipated to participate with 250 learners anticipated to complete the entire blended learning experience.</w:t>
      </w:r>
      <w:r w:rsidR="00EA6087">
        <w:rPr>
          <w:rFonts w:cstheme="minorHAnsi"/>
        </w:rPr>
        <w:t xml:space="preserve"> At the end of the 2 year period, an online activity comprised of the live workshop content and post intervention data collection methods was offered to learners who were unable to participate in the</w:t>
      </w:r>
      <w:r w:rsidR="00B02C55">
        <w:rPr>
          <w:rFonts w:cstheme="minorHAnsi"/>
        </w:rPr>
        <w:t xml:space="preserve"> initial blended learning experience.</w:t>
      </w:r>
      <w:r w:rsidR="00D27247" w:rsidRPr="000800F2">
        <w:rPr>
          <w:rFonts w:cstheme="minorHAnsi"/>
        </w:rPr>
        <w:br/>
      </w:r>
      <w:r w:rsidRPr="00D90E04">
        <w:rPr>
          <w:rFonts w:cstheme="minorHAnsi"/>
          <w:i/>
          <w:u w:val="single"/>
        </w:rPr>
        <w:t>Results</w:t>
      </w:r>
      <w:r w:rsidR="00C4711A">
        <w:rPr>
          <w:rFonts w:cstheme="minorHAnsi"/>
          <w:i/>
          <w:u w:val="single"/>
        </w:rPr>
        <w:br/>
      </w:r>
      <w:bookmarkStart w:id="6" w:name="_Hlk6564764"/>
      <w:r w:rsidR="003E4E2A">
        <w:t xml:space="preserve">A key objective of this grant was to increase </w:t>
      </w:r>
      <w:r w:rsidR="003E4E2A" w:rsidRPr="004144BF">
        <w:t>proper disease assessment and management</w:t>
      </w:r>
      <w:r w:rsidR="003E4E2A">
        <w:t xml:space="preserve"> of psoriasis and PsA on the part of the physician. </w:t>
      </w:r>
      <w:bookmarkStart w:id="7" w:name="_Hlk6563452"/>
      <w:r w:rsidR="003E4E2A">
        <w:t>T</w:t>
      </w:r>
      <w:r w:rsidR="003E4E2A" w:rsidRPr="00CF3BA6">
        <w:t xml:space="preserve">he analysis comparing the </w:t>
      </w:r>
      <w:r w:rsidR="00184597">
        <w:t xml:space="preserve">live </w:t>
      </w:r>
      <w:r w:rsidR="003E4E2A">
        <w:t xml:space="preserve">workshop </w:t>
      </w:r>
      <w:r w:rsidR="003E4E2A" w:rsidRPr="00CF3BA6">
        <w:t>pre</w:t>
      </w:r>
      <w:r w:rsidR="00E3278B">
        <w:t>/</w:t>
      </w:r>
      <w:r w:rsidR="00EA4757">
        <w:t xml:space="preserve"> </w:t>
      </w:r>
      <w:r w:rsidR="003E4E2A" w:rsidRPr="00CF3BA6">
        <w:t>post</w:t>
      </w:r>
      <w:r w:rsidR="003E4E2A">
        <w:t xml:space="preserve"> </w:t>
      </w:r>
      <w:r w:rsidR="003E4E2A" w:rsidRPr="00CF3BA6">
        <w:t xml:space="preserve">assessment </w:t>
      </w:r>
      <w:r w:rsidR="005D2AAC">
        <w:t xml:space="preserve">data for 366 learners </w:t>
      </w:r>
      <w:r w:rsidR="003E4E2A" w:rsidRPr="00CF3BA6">
        <w:t xml:space="preserve">showed improvement in </w:t>
      </w:r>
      <w:r w:rsidR="003E4E2A" w:rsidRPr="00A72F9F">
        <w:t>confidence in a</w:t>
      </w:r>
      <w:r w:rsidR="00E3278B">
        <w:t>ss</w:t>
      </w:r>
      <w:r w:rsidR="003E4E2A" w:rsidRPr="00A72F9F">
        <w:t>essing the severity of psoriasis; evaluating patients; and improved competence</w:t>
      </w:r>
      <w:r w:rsidR="003E4E2A">
        <w:t xml:space="preserve"> and confidence in using assessment tools for assessing patients for psoriasis, PsA and QOL. It is anticipated that this new or </w:t>
      </w:r>
      <w:r w:rsidR="00E3278B">
        <w:t xml:space="preserve">enhanced </w:t>
      </w:r>
      <w:r w:rsidR="003E4E2A">
        <w:t>knowledge gained by learners from the educational intervention has</w:t>
      </w:r>
      <w:r w:rsidR="004B59D0">
        <w:t xml:space="preserve"> </w:t>
      </w:r>
      <w:r w:rsidR="003E4E2A">
        <w:t>and will continue to translate into increased patient treatment satisfaction and QOL for their patients.</w:t>
      </w:r>
      <w:bookmarkEnd w:id="7"/>
      <w:r w:rsidR="00184597">
        <w:t xml:space="preserve"> </w:t>
      </w:r>
      <w:r w:rsidR="007F1CB0" w:rsidRPr="00A72F9F">
        <w:t xml:space="preserve">In addition, an average of 94% respondents felt attendance at the workshop had either a very positive or positive impact on their knowledge in assessing and evaluating psoriasis and PsA and that this knowledge would have a positive impact on their practice.  </w:t>
      </w:r>
      <w:r w:rsidR="00C4711A">
        <w:t xml:space="preserve">Evaluations also showed that learners plan to </w:t>
      </w:r>
      <w:r w:rsidR="00C4711A" w:rsidRPr="00CF3BA6">
        <w:t>perform joint examinations</w:t>
      </w:r>
      <w:r w:rsidR="00E3278B">
        <w:t>,</w:t>
      </w:r>
      <w:r w:rsidR="00C4711A" w:rsidRPr="00CF3BA6">
        <w:t xml:space="preserve"> </w:t>
      </w:r>
      <w:r w:rsidR="00C4711A">
        <w:t xml:space="preserve">having learned to </w:t>
      </w:r>
      <w:r w:rsidR="00C4711A" w:rsidRPr="00CF3BA6">
        <w:t>better evaluate joints and more accurately assess psoriasis and PsA</w:t>
      </w:r>
      <w:r w:rsidR="00C4711A">
        <w:t xml:space="preserve">.  </w:t>
      </w:r>
      <w:r w:rsidR="005D2AAC">
        <w:t xml:space="preserve">The impact of the workshop educational intervention is </w:t>
      </w:r>
      <w:r w:rsidR="007F1CB0" w:rsidRPr="007F1CB0">
        <w:t xml:space="preserve">estimated </w:t>
      </w:r>
      <w:r w:rsidR="0054222C">
        <w:t xml:space="preserve">at </w:t>
      </w:r>
      <w:r w:rsidR="007F1CB0" w:rsidRPr="007F1CB0">
        <w:t xml:space="preserve">3,600 psoriasis and PsA patients </w:t>
      </w:r>
      <w:r w:rsidR="0054222C">
        <w:t xml:space="preserve">that </w:t>
      </w:r>
      <w:r w:rsidR="005D2AAC">
        <w:t xml:space="preserve">have been </w:t>
      </w:r>
      <w:r w:rsidR="007F1CB0" w:rsidRPr="007F1CB0">
        <w:t>treated during the 12-month period following the intervention with learners using the knowledge gained from the educational intervention (</w:t>
      </w:r>
      <w:r w:rsidR="00CD1117">
        <w:t xml:space="preserve">a minimum of </w:t>
      </w:r>
      <w:r w:rsidR="007F1CB0" w:rsidRPr="007F1CB0">
        <w:t xml:space="preserve">30 patients/per physician learner/per year x approximately 120 practicing physician learners = 3,600 patients impacted annually).  This number of patients impacted </w:t>
      </w:r>
      <w:r w:rsidR="0054222C">
        <w:t xml:space="preserve">would be expected to </w:t>
      </w:r>
      <w:r w:rsidR="007F1CB0" w:rsidRPr="007F1CB0">
        <w:t>increase as time progresses and learners continue to treat new patients.</w:t>
      </w:r>
      <w:r w:rsidR="006240AE" w:rsidRPr="006240AE">
        <w:rPr>
          <w:rFonts w:cstheme="minorHAnsi"/>
        </w:rPr>
        <w:t xml:space="preserve"> </w:t>
      </w:r>
    </w:p>
    <w:p w14:paraId="33639307" w14:textId="77777777" w:rsidR="00E3278B" w:rsidRDefault="00E3278B" w:rsidP="006240AE">
      <w:pPr>
        <w:autoSpaceDE w:val="0"/>
        <w:autoSpaceDN w:val="0"/>
        <w:adjustRightInd w:val="0"/>
        <w:spacing w:after="0" w:line="240" w:lineRule="auto"/>
        <w:rPr>
          <w:rFonts w:cstheme="minorHAnsi"/>
        </w:rPr>
      </w:pPr>
    </w:p>
    <w:p w14:paraId="2EFA28C7" w14:textId="2F6CE7A0" w:rsidR="007F1CB0" w:rsidRPr="007F1CB0" w:rsidRDefault="006240AE" w:rsidP="006240AE">
      <w:pPr>
        <w:autoSpaceDE w:val="0"/>
        <w:autoSpaceDN w:val="0"/>
        <w:adjustRightInd w:val="0"/>
        <w:spacing w:after="0" w:line="240" w:lineRule="auto"/>
      </w:pPr>
      <w:r>
        <w:rPr>
          <w:rFonts w:cstheme="minorHAnsi"/>
        </w:rPr>
        <w:t xml:space="preserve">The two remaining objectives of </w:t>
      </w:r>
      <w:r w:rsidR="00E3278B">
        <w:rPr>
          <w:rFonts w:cstheme="minorHAnsi"/>
        </w:rPr>
        <w:t>the grant were to</w:t>
      </w:r>
      <w:r>
        <w:rPr>
          <w:rFonts w:cstheme="minorHAnsi"/>
        </w:rPr>
        <w:t xml:space="preserve"> </w:t>
      </w:r>
      <w:r w:rsidRPr="000800F2">
        <w:rPr>
          <w:rFonts w:cstheme="minorHAnsi"/>
        </w:rPr>
        <w:t>increase the clinical use of tools for</w:t>
      </w:r>
      <w:r>
        <w:rPr>
          <w:rFonts w:cstheme="minorHAnsi"/>
        </w:rPr>
        <w:t xml:space="preserve"> </w:t>
      </w:r>
      <w:r w:rsidRPr="000800F2">
        <w:rPr>
          <w:rFonts w:cstheme="minorHAnsi"/>
        </w:rPr>
        <w:t xml:space="preserve">assessing psoriasis, PsA, and QOL in patients with psoriasis; and </w:t>
      </w:r>
      <w:r w:rsidR="00E3278B">
        <w:rPr>
          <w:rFonts w:cstheme="minorHAnsi"/>
        </w:rPr>
        <w:t>to</w:t>
      </w:r>
      <w:r w:rsidRPr="000800F2">
        <w:rPr>
          <w:rFonts w:cstheme="minorHAnsi"/>
        </w:rPr>
        <w:t xml:space="preserve"> increase QOL and treatment</w:t>
      </w:r>
      <w:r>
        <w:rPr>
          <w:rFonts w:cstheme="minorHAnsi"/>
        </w:rPr>
        <w:t xml:space="preserve"> </w:t>
      </w:r>
      <w:r w:rsidRPr="000800F2">
        <w:rPr>
          <w:rFonts w:cstheme="minorHAnsi"/>
        </w:rPr>
        <w:t>satisfaction as reported by patients with psoriasis and PsA</w:t>
      </w:r>
      <w:r w:rsidR="00E3278B">
        <w:rPr>
          <w:rFonts w:cstheme="minorHAnsi"/>
        </w:rPr>
        <w:t>.  These</w:t>
      </w:r>
      <w:r>
        <w:rPr>
          <w:rFonts w:cstheme="minorHAnsi"/>
        </w:rPr>
        <w:t xml:space="preserve"> were not realized due to a </w:t>
      </w:r>
      <w:r w:rsidR="00E3278B">
        <w:rPr>
          <w:rFonts w:cstheme="minorHAnsi"/>
        </w:rPr>
        <w:t xml:space="preserve">difficulty in facilitating the completion of chart audits both pre and post intervention and difficulty in engaging dermatologists in recruiting patients to complete QOL surveys. </w:t>
      </w:r>
    </w:p>
    <w:bookmarkEnd w:id="6"/>
    <w:p w14:paraId="7968DB05" w14:textId="385742E7" w:rsidR="003A6D03" w:rsidRDefault="004B59D0" w:rsidP="003A6D03">
      <w:pPr>
        <w:tabs>
          <w:tab w:val="num" w:pos="1440"/>
        </w:tabs>
        <w:autoSpaceDE w:val="0"/>
        <w:autoSpaceDN w:val="0"/>
        <w:adjustRightInd w:val="0"/>
        <w:rPr>
          <w:rFonts w:cstheme="minorHAnsi"/>
          <w:b/>
        </w:rPr>
      </w:pPr>
      <w:r>
        <w:rPr>
          <w:rFonts w:cstheme="minorHAnsi"/>
          <w:i/>
          <w:u w:val="single"/>
        </w:rPr>
        <w:br/>
      </w:r>
      <w:r w:rsidR="001D1FB7" w:rsidRPr="00D90E04">
        <w:rPr>
          <w:rFonts w:cstheme="minorHAnsi"/>
          <w:i/>
          <w:u w:val="single"/>
        </w:rPr>
        <w:t>Conclusions</w:t>
      </w:r>
      <w:r w:rsidR="001D1FB7" w:rsidRPr="00D90E04">
        <w:rPr>
          <w:rFonts w:cstheme="minorHAnsi"/>
        </w:rPr>
        <w:br/>
      </w:r>
      <w:r w:rsidR="003A6D03">
        <w:rPr>
          <w:rFonts w:cstheme="minorHAnsi"/>
        </w:rPr>
        <w:t>In regard to the k</w:t>
      </w:r>
      <w:r w:rsidR="003A6D03" w:rsidRPr="000800F2">
        <w:rPr>
          <w:rFonts w:cstheme="minorHAnsi"/>
        </w:rPr>
        <w:t>ey objectives of this project</w:t>
      </w:r>
      <w:r w:rsidR="003A6D03">
        <w:rPr>
          <w:rFonts w:cstheme="minorHAnsi"/>
        </w:rPr>
        <w:t xml:space="preserve">, </w:t>
      </w:r>
      <w:r w:rsidR="003A6D03">
        <w:t xml:space="preserve">learners attending the workshop intervention reported </w:t>
      </w:r>
      <w:r w:rsidR="003A6D03" w:rsidRPr="00BB56DD">
        <w:t>increase</w:t>
      </w:r>
      <w:r w:rsidR="003A6D03">
        <w:t>d</w:t>
      </w:r>
      <w:r w:rsidR="003A6D03" w:rsidRPr="00BB56DD">
        <w:t xml:space="preserve"> knowledge, competence, and confidence in using assessment tools for psoriasis, PsA, and QOL</w:t>
      </w:r>
      <w:r w:rsidR="003A6D03">
        <w:t xml:space="preserve">. It is felt that this new or </w:t>
      </w:r>
      <w:r w:rsidR="00E3278B">
        <w:t xml:space="preserve">enhanced </w:t>
      </w:r>
      <w:r w:rsidR="003A6D03">
        <w:t>knowledge gained by learners from the educational intervention has and will continue to translate into increased patient treatment satisfaction and QOL for their patients.</w:t>
      </w:r>
      <w:r w:rsidR="003A6D03" w:rsidRPr="009F7C5F">
        <w:rPr>
          <w:rFonts w:cstheme="minorHAnsi"/>
        </w:rPr>
        <w:t xml:space="preserve"> </w:t>
      </w:r>
      <w:r w:rsidR="003A6D03">
        <w:t>The post workshop implementation activities were not successful</w:t>
      </w:r>
      <w:r w:rsidR="00E3278B">
        <w:t>ly completed</w:t>
      </w:r>
      <w:r w:rsidR="003A6D03">
        <w:t xml:space="preserve">. </w:t>
      </w:r>
      <w:r w:rsidR="003A6D03">
        <w:rPr>
          <w:rFonts w:cstheme="minorHAnsi"/>
        </w:rPr>
        <w:t xml:space="preserve">Workshop participants who continued onto the implementation activities were met with a barrier in collecting chart audit data. The project </w:t>
      </w:r>
      <w:r w:rsidR="003A6D03">
        <w:t xml:space="preserve">did not take into consideration the physician’s need to extract specific chart audit data that was not </w:t>
      </w:r>
      <w:r w:rsidR="00B02C55">
        <w:t>available i</w:t>
      </w:r>
      <w:r w:rsidR="003A6D03">
        <w:t xml:space="preserve">n the physician’s Electronic Medical Records. This barrier resulted in the inability of the physician to extract the data needed for the chart audit during the baseline, follow-up and online activities. This was impactful as this data was intended to demonstrate </w:t>
      </w:r>
      <w:r w:rsidR="003A6D03">
        <w:lastRenderedPageBreak/>
        <w:t>successful practice pattern</w:t>
      </w:r>
      <w:r w:rsidR="00E3278B">
        <w:t xml:space="preserve"> improvement</w:t>
      </w:r>
      <w:r w:rsidR="003A6D03">
        <w:t xml:space="preserve"> during implementation. </w:t>
      </w:r>
      <w:r w:rsidR="003A6D03">
        <w:rPr>
          <w:rFonts w:cstheme="minorHAnsi"/>
        </w:rPr>
        <w:t xml:space="preserve"> </w:t>
      </w:r>
      <w:r w:rsidR="003A6D03">
        <w:t xml:space="preserve">In hindsight, a pilot of the implementation activity chart data collection tool would have served as useful in identifying this as </w:t>
      </w:r>
      <w:r w:rsidR="00B02C55">
        <w:t xml:space="preserve">a </w:t>
      </w:r>
      <w:r w:rsidR="003A6D03">
        <w:t>weakness that could have been corrected prior to the project</w:t>
      </w:r>
      <w:r w:rsidR="00E3278B">
        <w:t xml:space="preserve"> being implemented</w:t>
      </w:r>
      <w:r w:rsidR="003A6D03">
        <w:t xml:space="preserve">. </w:t>
      </w:r>
      <w:r w:rsidR="003A6D03">
        <w:rPr>
          <w:rFonts w:cstheme="minorHAnsi"/>
        </w:rPr>
        <w:t xml:space="preserve">The impact of this barrier continued </w:t>
      </w:r>
      <w:r w:rsidR="00B02C55">
        <w:rPr>
          <w:rFonts w:cstheme="minorHAnsi"/>
        </w:rPr>
        <w:t xml:space="preserve">as </w:t>
      </w:r>
      <w:r w:rsidR="003A6D03">
        <w:rPr>
          <w:rFonts w:cstheme="minorHAnsi"/>
        </w:rPr>
        <w:t>the participant</w:t>
      </w:r>
      <w:r w:rsidR="00E3278B">
        <w:rPr>
          <w:rFonts w:cstheme="minorHAnsi"/>
        </w:rPr>
        <w:t>s</w:t>
      </w:r>
      <w:r w:rsidR="003A6D03">
        <w:rPr>
          <w:rFonts w:cstheme="minorHAnsi"/>
        </w:rPr>
        <w:t xml:space="preserve"> could not complete the entire learning experience</w:t>
      </w:r>
      <w:r w:rsidR="00B02C55">
        <w:rPr>
          <w:rFonts w:cstheme="minorHAnsi"/>
        </w:rPr>
        <w:t xml:space="preserve"> without this data</w:t>
      </w:r>
      <w:r w:rsidR="003A6D03">
        <w:rPr>
          <w:rFonts w:cstheme="minorHAnsi"/>
        </w:rPr>
        <w:t xml:space="preserve">. It’s our </w:t>
      </w:r>
      <w:r w:rsidR="00E3278B">
        <w:rPr>
          <w:rFonts w:cstheme="minorHAnsi"/>
        </w:rPr>
        <w:t xml:space="preserve">belief </w:t>
      </w:r>
      <w:r w:rsidR="003A6D03">
        <w:rPr>
          <w:rFonts w:cstheme="minorHAnsi"/>
        </w:rPr>
        <w:t xml:space="preserve">that </w:t>
      </w:r>
      <w:r w:rsidR="00B02C55">
        <w:rPr>
          <w:rFonts w:cstheme="minorHAnsi"/>
        </w:rPr>
        <w:t>the barrier to completing the project</w:t>
      </w:r>
      <w:r w:rsidR="003A6D03">
        <w:rPr>
          <w:rFonts w:cstheme="minorHAnsi"/>
        </w:rPr>
        <w:t xml:space="preserve"> impacted the motivation by the participant</w:t>
      </w:r>
      <w:r w:rsidR="00E3278B">
        <w:rPr>
          <w:rFonts w:cstheme="minorHAnsi"/>
        </w:rPr>
        <w:t>s</w:t>
      </w:r>
      <w:r w:rsidR="003A6D03">
        <w:rPr>
          <w:rFonts w:cstheme="minorHAnsi"/>
        </w:rPr>
        <w:t xml:space="preserve"> to complete the patient recruitment portion of the implementation and online activities. This patient data was designed to measure </w:t>
      </w:r>
      <w:r w:rsidR="003A6D03" w:rsidRPr="000800F2">
        <w:rPr>
          <w:rFonts w:cstheme="minorHAnsi"/>
        </w:rPr>
        <w:t>increase</w:t>
      </w:r>
      <w:r w:rsidR="003A6D03">
        <w:rPr>
          <w:rFonts w:cstheme="minorHAnsi"/>
        </w:rPr>
        <w:t>d</w:t>
      </w:r>
      <w:r w:rsidR="003A6D03" w:rsidRPr="000800F2">
        <w:rPr>
          <w:rFonts w:cstheme="minorHAnsi"/>
        </w:rPr>
        <w:t xml:space="preserve"> QOL and treatment</w:t>
      </w:r>
      <w:r w:rsidR="003A6D03">
        <w:rPr>
          <w:rFonts w:cstheme="minorHAnsi"/>
        </w:rPr>
        <w:t xml:space="preserve"> </w:t>
      </w:r>
      <w:r w:rsidR="003A6D03" w:rsidRPr="000800F2">
        <w:rPr>
          <w:rFonts w:cstheme="minorHAnsi"/>
        </w:rPr>
        <w:t xml:space="preserve">satisfaction as reported by patients with psoriasis and </w:t>
      </w:r>
      <w:r w:rsidR="003A6D03">
        <w:rPr>
          <w:rFonts w:cstheme="minorHAnsi"/>
        </w:rPr>
        <w:t>PsA</w:t>
      </w:r>
      <w:r w:rsidR="00FC31B9">
        <w:rPr>
          <w:rFonts w:cstheme="minorHAnsi"/>
        </w:rPr>
        <w:t>.</w:t>
      </w:r>
      <w:r w:rsidR="003A6D03">
        <w:rPr>
          <w:rFonts w:cstheme="minorHAnsi"/>
        </w:rPr>
        <w:t xml:space="preserve">  Without the chart audit data or patient data, we were unable to meet the last two objectives of the project that would </w:t>
      </w:r>
      <w:r w:rsidR="00E3278B">
        <w:t xml:space="preserve">demonstrate </w:t>
      </w:r>
      <w:r w:rsidR="003A6D03">
        <w:t>an</w:t>
      </w:r>
      <w:r w:rsidR="00B02C55">
        <w:t>y</w:t>
      </w:r>
      <w:r w:rsidR="003A6D03" w:rsidRPr="007C01CD">
        <w:t xml:space="preserve"> </w:t>
      </w:r>
      <w:r w:rsidR="00B02C55">
        <w:t xml:space="preserve">definitive </w:t>
      </w:r>
      <w:r w:rsidR="003A6D03" w:rsidRPr="007C01CD">
        <w:t xml:space="preserve">impact of </w:t>
      </w:r>
      <w:r w:rsidR="003A6D03">
        <w:t xml:space="preserve">the </w:t>
      </w:r>
      <w:r w:rsidR="003A6D03" w:rsidRPr="007C01CD">
        <w:t>live educational intervention on improved care</w:t>
      </w:r>
      <w:r w:rsidR="00B02C55">
        <w:t xml:space="preserve"> in practice</w:t>
      </w:r>
      <w:r w:rsidR="003A6D03">
        <w:t xml:space="preserve">. </w:t>
      </w:r>
    </w:p>
    <w:p w14:paraId="46A73DA3" w14:textId="0DBF262B" w:rsidR="003A6D03" w:rsidRDefault="003A6D03" w:rsidP="003A6D03">
      <w:pPr>
        <w:autoSpaceDE w:val="0"/>
        <w:autoSpaceDN w:val="0"/>
        <w:adjustRightInd w:val="0"/>
        <w:spacing w:after="0" w:line="240" w:lineRule="auto"/>
        <w:rPr>
          <w:i/>
          <w:iCs/>
          <w:u w:val="single"/>
        </w:rPr>
      </w:pPr>
      <w:r>
        <w:rPr>
          <w:iCs/>
        </w:rPr>
        <w:t xml:space="preserve">A second effort was made to collect the data necessary to meet the final two objectives of the project. This alternative research methodology </w:t>
      </w:r>
      <w:r w:rsidRPr="00FE146D">
        <w:rPr>
          <w:iCs/>
        </w:rPr>
        <w:t xml:space="preserve">proposed </w:t>
      </w:r>
      <w:r>
        <w:rPr>
          <w:iCs/>
        </w:rPr>
        <w:t xml:space="preserve">to gather self-reported data on the </w:t>
      </w:r>
      <w:r w:rsidRPr="00FE146D">
        <w:rPr>
          <w:iCs/>
        </w:rPr>
        <w:t>impact the program</w:t>
      </w:r>
      <w:r>
        <w:rPr>
          <w:iCs/>
        </w:rPr>
        <w:t xml:space="preserve"> had on </w:t>
      </w:r>
      <w:r w:rsidRPr="00FE146D">
        <w:rPr>
          <w:iCs/>
        </w:rPr>
        <w:t xml:space="preserve">physician attendees, however; there was a lower than anticipated number of physicians who participated in the </w:t>
      </w:r>
      <w:r>
        <w:rPr>
          <w:iCs/>
        </w:rPr>
        <w:t xml:space="preserve">workshop </w:t>
      </w:r>
      <w:r w:rsidRPr="00FE146D">
        <w:rPr>
          <w:iCs/>
        </w:rPr>
        <w:t>educational intervention.  Because of this low number</w:t>
      </w:r>
      <w:r>
        <w:rPr>
          <w:iCs/>
        </w:rPr>
        <w:t xml:space="preserve"> and the </w:t>
      </w:r>
      <w:r w:rsidRPr="00FE146D">
        <w:rPr>
          <w:iCs/>
        </w:rPr>
        <w:t>length of time since the educational activity</w:t>
      </w:r>
      <w:r>
        <w:rPr>
          <w:iCs/>
        </w:rPr>
        <w:t xml:space="preserve"> had occurred</w:t>
      </w:r>
      <w:r w:rsidRPr="00FE146D">
        <w:rPr>
          <w:iCs/>
        </w:rPr>
        <w:t xml:space="preserve">, it was decided that we would not have sufficient data to support a solid conclusion regarding the impact of the intervention. In particular, we became very concerned that the time lapse between the pre </w:t>
      </w:r>
      <w:r w:rsidR="0028684F">
        <w:rPr>
          <w:iCs/>
        </w:rPr>
        <w:t>and</w:t>
      </w:r>
      <w:r w:rsidR="00EA4757">
        <w:rPr>
          <w:iCs/>
        </w:rPr>
        <w:t xml:space="preserve"> </w:t>
      </w:r>
      <w:r w:rsidRPr="00FE146D">
        <w:rPr>
          <w:iCs/>
        </w:rPr>
        <w:t xml:space="preserve">post intervention data collected had allowed for a variety of variables </w:t>
      </w:r>
      <w:r w:rsidR="0028684F">
        <w:rPr>
          <w:iCs/>
        </w:rPr>
        <w:t xml:space="preserve">to </w:t>
      </w:r>
      <w:r w:rsidRPr="00FE146D">
        <w:rPr>
          <w:iCs/>
        </w:rPr>
        <w:t xml:space="preserve">impact practice </w:t>
      </w:r>
      <w:r w:rsidR="0028684F">
        <w:rPr>
          <w:iCs/>
        </w:rPr>
        <w:t>which would likely</w:t>
      </w:r>
      <w:r w:rsidR="0028684F" w:rsidRPr="00FE146D">
        <w:rPr>
          <w:iCs/>
        </w:rPr>
        <w:t xml:space="preserve"> </w:t>
      </w:r>
      <w:r w:rsidRPr="00FE146D">
        <w:rPr>
          <w:iCs/>
        </w:rPr>
        <w:t>distort a final conclusion.</w:t>
      </w:r>
      <w:r>
        <w:rPr>
          <w:iCs/>
        </w:rPr>
        <w:t xml:space="preserve"> </w:t>
      </w:r>
      <w:r w:rsidRPr="001901B0">
        <w:rPr>
          <w:iCs/>
        </w:rPr>
        <w:t xml:space="preserve">The </w:t>
      </w:r>
      <w:r>
        <w:rPr>
          <w:iCs/>
        </w:rPr>
        <w:t xml:space="preserve">measures regarding the </w:t>
      </w:r>
      <w:r w:rsidRPr="001901B0">
        <w:rPr>
          <w:iCs/>
        </w:rPr>
        <w:t>assess</w:t>
      </w:r>
      <w:r>
        <w:rPr>
          <w:iCs/>
        </w:rPr>
        <w:t>ment of</w:t>
      </w:r>
      <w:r w:rsidRPr="001901B0">
        <w:rPr>
          <w:iCs/>
        </w:rPr>
        <w:t xml:space="preserve"> improved patient QOL post intervention</w:t>
      </w:r>
      <w:r>
        <w:rPr>
          <w:iCs/>
        </w:rPr>
        <w:t xml:space="preserve"> was also not realized</w:t>
      </w:r>
      <w:r w:rsidRPr="001901B0">
        <w:rPr>
          <w:iCs/>
        </w:rPr>
        <w:t xml:space="preserve">.  Since AAD does not have direct contact with the patients of our members, and we had not </w:t>
      </w:r>
      <w:r w:rsidR="0028684F">
        <w:rPr>
          <w:iCs/>
        </w:rPr>
        <w:t xml:space="preserve">successfully </w:t>
      </w:r>
      <w:r w:rsidRPr="001901B0">
        <w:rPr>
          <w:iCs/>
        </w:rPr>
        <w:t xml:space="preserve">engaged learners in either the initial or alternative research concepts, we were not able to </w:t>
      </w:r>
      <w:r>
        <w:rPr>
          <w:iCs/>
        </w:rPr>
        <w:t xml:space="preserve">establish a connection between the workshop intervention and impact on patient QOL. </w:t>
      </w:r>
    </w:p>
    <w:p w14:paraId="29F6A726" w14:textId="2F5C9B85" w:rsidR="007F1CB0" w:rsidRPr="007F1CB0" w:rsidRDefault="00B02C55" w:rsidP="007F1CB0">
      <w:pPr>
        <w:autoSpaceDE w:val="0"/>
        <w:autoSpaceDN w:val="0"/>
        <w:adjustRightInd w:val="0"/>
        <w:spacing w:after="0" w:line="240" w:lineRule="auto"/>
        <w:rPr>
          <w:rFonts w:cstheme="minorHAnsi"/>
        </w:rPr>
      </w:pPr>
      <w:r>
        <w:rPr>
          <w:rFonts w:cstheme="minorHAnsi"/>
          <w:b/>
        </w:rPr>
        <w:br/>
      </w:r>
      <w:r w:rsidR="00D27247" w:rsidRPr="000800F2">
        <w:rPr>
          <w:rFonts w:cstheme="minorHAnsi"/>
          <w:b/>
        </w:rPr>
        <w:t>Problem</w:t>
      </w:r>
      <w:r w:rsidR="000A4DBC">
        <w:rPr>
          <w:rFonts w:cstheme="minorHAnsi"/>
          <w:b/>
        </w:rPr>
        <w:br/>
      </w:r>
      <w:r w:rsidR="000A4DBC" w:rsidRPr="000A4DBC">
        <w:rPr>
          <w:rFonts w:cstheme="minorHAnsi"/>
          <w:b/>
        </w:rPr>
        <w:t>Nature and significance of the local </w:t>
      </w:r>
      <w:hyperlink r:id="rId8" w:anchor="Problem" w:history="1">
        <w:r w:rsidR="000A4DBC" w:rsidRPr="000A4DBC">
          <w:rPr>
            <w:rStyle w:val="Hyperlink"/>
            <w:rFonts w:cstheme="minorHAnsi"/>
            <w:b/>
          </w:rPr>
          <w:t>problem</w:t>
        </w:r>
      </w:hyperlink>
      <w:r w:rsidR="00961B66" w:rsidRPr="000800F2">
        <w:rPr>
          <w:rFonts w:cstheme="minorHAnsi"/>
          <w:b/>
        </w:rPr>
        <w:br/>
      </w:r>
      <w:r w:rsidR="007F1CB0" w:rsidRPr="007F1CB0">
        <w:rPr>
          <w:rFonts w:cstheme="minorHAnsi"/>
        </w:rPr>
        <w:t>It has been shown that a low QOL correlates with greater disease severity in patients with</w:t>
      </w:r>
    </w:p>
    <w:p w14:paraId="54D47C7E" w14:textId="244DAB97" w:rsidR="007F1CB0" w:rsidRPr="007F1CB0" w:rsidRDefault="007F1CB0" w:rsidP="007F1CB0">
      <w:pPr>
        <w:autoSpaceDE w:val="0"/>
        <w:autoSpaceDN w:val="0"/>
        <w:adjustRightInd w:val="0"/>
        <w:spacing w:after="0" w:line="240" w:lineRule="auto"/>
        <w:rPr>
          <w:rFonts w:cstheme="minorHAnsi"/>
        </w:rPr>
      </w:pPr>
      <w:r w:rsidRPr="007F1CB0">
        <w:rPr>
          <w:rFonts w:cstheme="minorHAnsi"/>
        </w:rPr>
        <w:t>psoriasis and PsA.</w:t>
      </w:r>
      <w:r w:rsidRPr="007F1CB0">
        <w:rPr>
          <w:rFonts w:cstheme="minorHAnsi"/>
          <w:vertAlign w:val="superscript"/>
        </w:rPr>
        <w:t>1-3</w:t>
      </w:r>
      <w:r w:rsidRPr="007F1CB0">
        <w:rPr>
          <w:rFonts w:cstheme="minorHAnsi"/>
        </w:rPr>
        <w:t xml:space="preserve"> In addition, over 50% of patients with psoriasis and over 45% of patients with PsA report dissatisfaction with their treatment.</w:t>
      </w:r>
      <w:r w:rsidRPr="007F1CB0">
        <w:rPr>
          <w:rFonts w:cstheme="minorHAnsi"/>
          <w:vertAlign w:val="superscript"/>
        </w:rPr>
        <w:t>1,</w:t>
      </w:r>
      <w:r w:rsidRPr="007F1CB0">
        <w:rPr>
          <w:rFonts w:cstheme="minorHAnsi"/>
        </w:rPr>
        <w:t xml:space="preserve"> </w:t>
      </w:r>
      <w:r w:rsidRPr="007F1CB0">
        <w:rPr>
          <w:rFonts w:cstheme="minorHAnsi"/>
          <w:vertAlign w:val="superscript"/>
        </w:rPr>
        <w:t>4,</w:t>
      </w:r>
      <w:r w:rsidRPr="007F1CB0">
        <w:rPr>
          <w:rFonts w:cstheme="minorHAnsi"/>
        </w:rPr>
        <w:t xml:space="preserve"> </w:t>
      </w:r>
      <w:r w:rsidRPr="007F1CB0">
        <w:rPr>
          <w:rFonts w:cstheme="minorHAnsi"/>
          <w:vertAlign w:val="superscript"/>
        </w:rPr>
        <w:t>5</w:t>
      </w:r>
      <w:r w:rsidRPr="007F1CB0">
        <w:rPr>
          <w:rFonts w:cstheme="minorHAnsi"/>
        </w:rPr>
        <w:t xml:space="preserve"> It is reasonable to predict that increased treatment satisfaction will accompany increases in QOL for patients with psoriasis  and PsA; however, both are dependent upon proper disease assessment and management. The importance of disease assessment is exemplified by a known practice gap in the assessment of PsA. Estimates of up to 42% of patients with psoriasis develop PsA,</w:t>
      </w:r>
      <w:r w:rsidRPr="007F1CB0">
        <w:rPr>
          <w:rFonts w:cstheme="minorHAnsi"/>
          <w:vertAlign w:val="superscript"/>
        </w:rPr>
        <w:t>2,</w:t>
      </w:r>
      <w:r w:rsidRPr="007F1CB0">
        <w:rPr>
          <w:rFonts w:cstheme="minorHAnsi"/>
        </w:rPr>
        <w:t xml:space="preserve"> </w:t>
      </w:r>
      <w:r w:rsidRPr="007F1CB0">
        <w:rPr>
          <w:rFonts w:cstheme="minorHAnsi"/>
          <w:vertAlign w:val="superscript"/>
        </w:rPr>
        <w:t>6</w:t>
      </w:r>
      <w:r w:rsidRPr="007F1CB0">
        <w:rPr>
          <w:rFonts w:cstheme="minorHAnsi"/>
        </w:rPr>
        <w:t xml:space="preserve"> yet a recent meta-analysis has reported that PsA remains undiagnosed 15.5% of the time.</w:t>
      </w:r>
      <w:r w:rsidRPr="007F1CB0">
        <w:rPr>
          <w:rFonts w:cstheme="minorHAnsi"/>
          <w:vertAlign w:val="superscript"/>
        </w:rPr>
        <w:t>7</w:t>
      </w:r>
      <w:r w:rsidRPr="007F1CB0">
        <w:rPr>
          <w:rFonts w:cstheme="minorHAnsi"/>
        </w:rPr>
        <w:t xml:space="preserve"> There are multiple knowledge,</w:t>
      </w:r>
      <w:r>
        <w:rPr>
          <w:rFonts w:cstheme="minorHAnsi"/>
        </w:rPr>
        <w:t xml:space="preserve"> </w:t>
      </w:r>
      <w:r w:rsidRPr="007F1CB0">
        <w:rPr>
          <w:rFonts w:cstheme="minorHAnsi"/>
        </w:rPr>
        <w:t>competence, and practice gaps that may contribute to these unfortunate patient outcomes.</w:t>
      </w:r>
    </w:p>
    <w:p w14:paraId="659221B6" w14:textId="165DDD12" w:rsidR="00AC032A" w:rsidRPr="000A4DBC" w:rsidRDefault="0067366F" w:rsidP="007F1CB0">
      <w:pPr>
        <w:autoSpaceDE w:val="0"/>
        <w:autoSpaceDN w:val="0"/>
        <w:adjustRightInd w:val="0"/>
        <w:spacing w:after="0" w:line="240" w:lineRule="auto"/>
        <w:rPr>
          <w:rFonts w:cstheme="minorHAnsi"/>
          <w:b/>
        </w:rPr>
      </w:pPr>
      <w:r>
        <w:rPr>
          <w:rFonts w:cstheme="minorHAnsi"/>
        </w:rPr>
        <w:br/>
      </w:r>
      <w:r w:rsidR="007F3A92" w:rsidRPr="000800F2">
        <w:rPr>
          <w:rFonts w:cstheme="minorHAnsi"/>
          <w:b/>
        </w:rPr>
        <w:t>Available Knowledge</w:t>
      </w:r>
      <w:r w:rsidR="00AC032A">
        <w:rPr>
          <w:rFonts w:cstheme="minorHAnsi"/>
          <w:b/>
        </w:rPr>
        <w:br/>
      </w:r>
      <w:r w:rsidR="00AC032A" w:rsidRPr="000A4DBC">
        <w:rPr>
          <w:rFonts w:cstheme="minorHAnsi"/>
          <w:b/>
        </w:rPr>
        <w:t>Summary of what is currently known about the </w:t>
      </w:r>
      <w:hyperlink r:id="rId9" w:anchor="Problem" w:history="1">
        <w:r w:rsidR="00AC032A" w:rsidRPr="000A4DBC">
          <w:rPr>
            <w:rStyle w:val="Hyperlink"/>
            <w:rFonts w:cstheme="minorHAnsi"/>
            <w:b/>
          </w:rPr>
          <w:t>problem</w:t>
        </w:r>
      </w:hyperlink>
      <w:r w:rsidR="00AC032A" w:rsidRPr="000A4DBC">
        <w:rPr>
          <w:rFonts w:cstheme="minorHAnsi"/>
          <w:b/>
        </w:rPr>
        <w:t>, including relevant previous studies</w:t>
      </w:r>
    </w:p>
    <w:p w14:paraId="5BA772BC" w14:textId="7927EBAD" w:rsidR="007F1CB0" w:rsidRPr="007F1CB0" w:rsidRDefault="004A1893" w:rsidP="007F1CB0">
      <w:pPr>
        <w:kinsoku w:val="0"/>
        <w:overflowPunct w:val="0"/>
        <w:autoSpaceDE w:val="0"/>
        <w:autoSpaceDN w:val="0"/>
        <w:adjustRightInd w:val="0"/>
        <w:spacing w:before="12" w:after="0" w:line="240" w:lineRule="auto"/>
        <w:rPr>
          <w:rFonts w:cstheme="minorHAnsi"/>
        </w:rPr>
      </w:pPr>
      <w:r>
        <w:rPr>
          <w:rFonts w:cstheme="minorHAnsi"/>
        </w:rPr>
        <w:t xml:space="preserve">AAD needs assessment data </w:t>
      </w:r>
      <w:r w:rsidRPr="007F1CB0">
        <w:rPr>
          <w:rFonts w:cstheme="minorHAnsi"/>
        </w:rPr>
        <w:t xml:space="preserve">identified knowledge and competence gaps </w:t>
      </w:r>
      <w:r>
        <w:rPr>
          <w:rFonts w:cstheme="minorHAnsi"/>
        </w:rPr>
        <w:t xml:space="preserve">from </w:t>
      </w:r>
      <w:bookmarkStart w:id="8" w:name="_Hlk8112761"/>
      <w:r>
        <w:rPr>
          <w:rFonts w:cstheme="minorHAnsi"/>
        </w:rPr>
        <w:t>past</w:t>
      </w:r>
      <w:r w:rsidRPr="007F1CB0">
        <w:rPr>
          <w:rFonts w:cstheme="minorHAnsi"/>
        </w:rPr>
        <w:t xml:space="preserve"> </w:t>
      </w:r>
      <w:r w:rsidR="00944353">
        <w:rPr>
          <w:rFonts w:cstheme="minorHAnsi"/>
        </w:rPr>
        <w:t xml:space="preserve">AAD </w:t>
      </w:r>
      <w:r w:rsidRPr="007F1CB0">
        <w:rPr>
          <w:rFonts w:cstheme="minorHAnsi"/>
          <w:i/>
          <w:iCs/>
        </w:rPr>
        <w:t>Translating Evidence into Practice:</w:t>
      </w:r>
      <w:r>
        <w:rPr>
          <w:rFonts w:cstheme="minorHAnsi"/>
          <w:i/>
          <w:iCs/>
        </w:rPr>
        <w:t xml:space="preserve"> </w:t>
      </w:r>
      <w:r w:rsidRPr="007F1CB0">
        <w:rPr>
          <w:rFonts w:cstheme="minorHAnsi"/>
          <w:i/>
          <w:iCs/>
        </w:rPr>
        <w:t xml:space="preserve">Psoriasis Guidelines </w:t>
      </w:r>
      <w:r w:rsidRPr="007F1CB0">
        <w:rPr>
          <w:rFonts w:cstheme="minorHAnsi"/>
        </w:rPr>
        <w:t>sessions</w:t>
      </w:r>
      <w:r w:rsidR="00BB3FE0">
        <w:rPr>
          <w:rFonts w:cstheme="minorHAnsi"/>
        </w:rPr>
        <w:t xml:space="preserve"> held by the Academy since 2011.</w:t>
      </w:r>
      <w:r w:rsidR="007F1CB0" w:rsidRPr="007F1CB0">
        <w:rPr>
          <w:rFonts w:cstheme="minorHAnsi"/>
          <w:vertAlign w:val="superscript"/>
        </w:rPr>
        <w:t>8</w:t>
      </w:r>
      <w:r w:rsidR="007F1CB0" w:rsidRPr="007F1CB0">
        <w:rPr>
          <w:rFonts w:cstheme="minorHAnsi"/>
        </w:rPr>
        <w:t xml:space="preserve"> </w:t>
      </w:r>
      <w:r>
        <w:rPr>
          <w:rFonts w:cstheme="minorHAnsi"/>
        </w:rPr>
        <w:t>During these sessions, p</w:t>
      </w:r>
      <w:r w:rsidR="007F1CB0" w:rsidRPr="007F1CB0">
        <w:rPr>
          <w:rFonts w:cstheme="minorHAnsi"/>
        </w:rPr>
        <w:t xml:space="preserve">articipants were asked to </w:t>
      </w:r>
      <w:bookmarkEnd w:id="8"/>
      <w:r w:rsidR="007F1CB0" w:rsidRPr="007F1CB0">
        <w:rPr>
          <w:rFonts w:cstheme="minorHAnsi"/>
        </w:rPr>
        <w:t>answer case-based clinical questions pertaining to psoriasis. The resulting data were assessed for aggregate responses below 70% to determine gaps. Prior to the session, the average correct responses for 31 of 42 questions (74%) fell below the 70% cut-off, thus indicating multiple knowledge and competence gaps.</w:t>
      </w:r>
      <w:r w:rsidR="007F1CB0">
        <w:rPr>
          <w:rFonts w:cstheme="minorHAnsi"/>
        </w:rPr>
        <w:t xml:space="preserve"> </w:t>
      </w:r>
      <w:r w:rsidR="0054222C">
        <w:rPr>
          <w:rFonts w:cstheme="minorHAnsi"/>
        </w:rPr>
        <w:t>In addition, le</w:t>
      </w:r>
      <w:r w:rsidR="007F1CB0" w:rsidRPr="007F1CB0">
        <w:rPr>
          <w:rFonts w:cstheme="minorHAnsi"/>
        </w:rPr>
        <w:t xml:space="preserve">ss than 70% of participants self-reported the use of body surface area (BSA) and physician global assessment (PGA) to assess patients’ disease severity, the overall assessment of QOL, and the use of multiple tools to assess QOL (Table 1). The 6 </w:t>
      </w:r>
      <w:r w:rsidR="00740596" w:rsidRPr="007F1CB0">
        <w:rPr>
          <w:rFonts w:cstheme="minorHAnsi"/>
        </w:rPr>
        <w:t>months</w:t>
      </w:r>
      <w:r w:rsidR="007F1CB0" w:rsidRPr="007F1CB0">
        <w:rPr>
          <w:rFonts w:cstheme="minorHAnsi"/>
        </w:rPr>
        <w:t xml:space="preserve"> to </w:t>
      </w:r>
      <w:r w:rsidR="00740596" w:rsidRPr="007F1CB0">
        <w:rPr>
          <w:rFonts w:cstheme="minorHAnsi"/>
        </w:rPr>
        <w:t>2.5-year</w:t>
      </w:r>
      <w:r w:rsidR="007F1CB0" w:rsidRPr="007F1CB0">
        <w:rPr>
          <w:rFonts w:cstheme="minorHAnsi"/>
        </w:rPr>
        <w:t xml:space="preserve"> follow-up results shown in Table 1 revealed persistent practice gaps in the use </w:t>
      </w:r>
      <w:r w:rsidR="007F1CB0" w:rsidRPr="007F1CB0">
        <w:rPr>
          <w:rFonts w:cstheme="minorHAnsi"/>
        </w:rPr>
        <w:lastRenderedPageBreak/>
        <w:t>of PGA to assess disease</w:t>
      </w:r>
      <w:r w:rsidR="007F1CB0">
        <w:rPr>
          <w:rFonts w:cstheme="minorHAnsi"/>
        </w:rPr>
        <w:t xml:space="preserve"> </w:t>
      </w:r>
      <w:r w:rsidR="007F1CB0" w:rsidRPr="007F1CB0">
        <w:rPr>
          <w:rFonts w:cstheme="minorHAnsi"/>
        </w:rPr>
        <w:t>severity and in the use of QOL assessment tools.</w:t>
      </w:r>
      <w:r w:rsidR="007F1CB0">
        <w:rPr>
          <w:rFonts w:cstheme="minorHAnsi"/>
        </w:rPr>
        <w:t xml:space="preserve"> </w:t>
      </w:r>
      <w:bookmarkStart w:id="9" w:name="_bookmark0"/>
      <w:bookmarkEnd w:id="9"/>
      <w:r w:rsidR="0054222C">
        <w:rPr>
          <w:rFonts w:cstheme="minorHAnsi"/>
        </w:rPr>
        <w:t>R</w:t>
      </w:r>
      <w:r w:rsidR="007F1CB0" w:rsidRPr="007F1CB0">
        <w:rPr>
          <w:rFonts w:cstheme="minorHAnsi"/>
        </w:rPr>
        <w:t>elated practice</w:t>
      </w:r>
      <w:r w:rsidR="007F1CB0">
        <w:rPr>
          <w:rFonts w:cstheme="minorHAnsi"/>
        </w:rPr>
        <w:t xml:space="preserve"> </w:t>
      </w:r>
      <w:r w:rsidR="007F1CB0" w:rsidRPr="007F1CB0">
        <w:rPr>
          <w:rFonts w:cstheme="minorHAnsi"/>
        </w:rPr>
        <w:t xml:space="preserve">gaps from an online performance improvement module on psoriasis </w:t>
      </w:r>
      <w:r w:rsidR="0054222C">
        <w:rPr>
          <w:rFonts w:cstheme="minorHAnsi"/>
        </w:rPr>
        <w:t xml:space="preserve">identified </w:t>
      </w:r>
      <w:r w:rsidR="007F1CB0" w:rsidRPr="007F1CB0">
        <w:rPr>
          <w:rFonts w:cstheme="minorHAnsi"/>
        </w:rPr>
        <w:t>where 192 participants completed at least 10 chart audits (stage A), reviewed educational materials and developed an implementation plan, then audited an additional 10 charts (stage C).</w:t>
      </w:r>
      <w:r w:rsidR="007F1CB0" w:rsidRPr="007F1CB0">
        <w:rPr>
          <w:rFonts w:cstheme="minorHAnsi"/>
          <w:vertAlign w:val="superscript"/>
        </w:rPr>
        <w:t>9</w:t>
      </w:r>
      <w:r w:rsidR="007F1CB0" w:rsidRPr="007F1CB0">
        <w:rPr>
          <w:rFonts w:cstheme="minorHAnsi"/>
        </w:rPr>
        <w:t xml:space="preserve"> Less than 70% of participants had documented important patient history details or counseled their patients on comorbidities associated with psoriasis, indicating numerous practice gaps that could relate to a decreased QOL for patients (Table 2).</w:t>
      </w:r>
      <w:r w:rsidR="007F1CB0" w:rsidRPr="007F1CB0">
        <w:rPr>
          <w:rFonts w:cstheme="minorHAnsi"/>
          <w:vertAlign w:val="superscript"/>
        </w:rPr>
        <w:t>9</w:t>
      </w:r>
      <w:r w:rsidR="007F1CB0" w:rsidRPr="007F1CB0">
        <w:rPr>
          <w:rFonts w:cstheme="minorHAnsi"/>
        </w:rPr>
        <w:t xml:space="preserve"> While significant improvements in almost every topic were observed at stage C, there were persistent practice gaps for every topic.</w:t>
      </w:r>
    </w:p>
    <w:p w14:paraId="20D922C8" w14:textId="77777777" w:rsidR="00961B66" w:rsidRPr="00961B66" w:rsidRDefault="00961B66" w:rsidP="00961B66">
      <w:pPr>
        <w:kinsoku w:val="0"/>
        <w:overflowPunct w:val="0"/>
        <w:autoSpaceDE w:val="0"/>
        <w:autoSpaceDN w:val="0"/>
        <w:adjustRightInd w:val="0"/>
        <w:spacing w:after="0" w:line="240" w:lineRule="auto"/>
        <w:rPr>
          <w:rFonts w:cstheme="minorHAnsi"/>
        </w:rPr>
      </w:pPr>
    </w:p>
    <w:p w14:paraId="45182800" w14:textId="204C46A7" w:rsidR="00961B66" w:rsidRPr="00961B66" w:rsidRDefault="00961B66" w:rsidP="00961B66">
      <w:pPr>
        <w:kinsoku w:val="0"/>
        <w:overflowPunct w:val="0"/>
        <w:autoSpaceDE w:val="0"/>
        <w:autoSpaceDN w:val="0"/>
        <w:adjustRightInd w:val="0"/>
        <w:spacing w:after="0" w:line="240" w:lineRule="auto"/>
        <w:ind w:left="130"/>
        <w:rPr>
          <w:rFonts w:ascii="Calibri" w:hAnsi="Calibri" w:cs="Calibri"/>
          <w:sz w:val="20"/>
          <w:szCs w:val="20"/>
        </w:rPr>
      </w:pPr>
      <w:r>
        <w:rPr>
          <w:noProof/>
        </w:rPr>
        <w:drawing>
          <wp:inline distT="0" distB="0" distL="0" distR="0" wp14:anchorId="00A27338" wp14:editId="18951F64">
            <wp:extent cx="3289300" cy="3213100"/>
            <wp:effectExtent l="0" t="0" r="6350" b="6350"/>
            <wp:docPr id="2593748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289300" cy="3213100"/>
                    </a:xfrm>
                    <a:prstGeom prst="rect">
                      <a:avLst/>
                    </a:prstGeom>
                  </pic:spPr>
                </pic:pic>
              </a:graphicData>
            </a:graphic>
          </wp:inline>
        </w:drawing>
      </w:r>
    </w:p>
    <w:p w14:paraId="43E96E26" w14:textId="7775B1BB" w:rsidR="00961B66" w:rsidRPr="00961B66" w:rsidRDefault="00961B66" w:rsidP="00961B66">
      <w:pPr>
        <w:kinsoku w:val="0"/>
        <w:overflowPunct w:val="0"/>
        <w:autoSpaceDE w:val="0"/>
        <w:autoSpaceDN w:val="0"/>
        <w:adjustRightInd w:val="0"/>
        <w:spacing w:after="0" w:line="240" w:lineRule="auto"/>
        <w:rPr>
          <w:rFonts w:ascii="Times New Roman" w:hAnsi="Times New Roman" w:cs="Times New Roman"/>
          <w:sz w:val="20"/>
          <w:szCs w:val="20"/>
        </w:rPr>
      </w:pPr>
      <w:r>
        <w:rPr>
          <w:noProof/>
        </w:rPr>
        <w:drawing>
          <wp:inline distT="0" distB="0" distL="0" distR="0" wp14:anchorId="732AD946" wp14:editId="24DCA67F">
            <wp:extent cx="3594100" cy="2743200"/>
            <wp:effectExtent l="0" t="0" r="6350" b="0"/>
            <wp:docPr id="591893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594100" cy="2743200"/>
                    </a:xfrm>
                    <a:prstGeom prst="rect">
                      <a:avLst/>
                    </a:prstGeom>
                  </pic:spPr>
                </pic:pic>
              </a:graphicData>
            </a:graphic>
          </wp:inline>
        </w:drawing>
      </w:r>
    </w:p>
    <w:p w14:paraId="74BF0E43" w14:textId="19CC827C" w:rsidR="004A1893" w:rsidRPr="0043166A" w:rsidRDefault="004A1893" w:rsidP="004A1893">
      <w:pPr>
        <w:spacing w:after="0" w:line="240" w:lineRule="auto"/>
        <w:rPr>
          <w:rFonts w:cstheme="minorHAnsi"/>
        </w:rPr>
      </w:pPr>
      <w:r>
        <w:rPr>
          <w:rFonts w:cstheme="minorHAnsi"/>
        </w:rPr>
        <w:br/>
        <w:t xml:space="preserve">In addition, </w:t>
      </w:r>
      <w:r w:rsidRPr="0043166A">
        <w:rPr>
          <w:rFonts w:cstheme="minorHAnsi"/>
        </w:rPr>
        <w:t xml:space="preserve">the AAD </w:t>
      </w:r>
      <w:r>
        <w:rPr>
          <w:rFonts w:cstheme="minorHAnsi"/>
        </w:rPr>
        <w:t xml:space="preserve">had </w:t>
      </w:r>
      <w:r w:rsidRPr="0043166A">
        <w:rPr>
          <w:rFonts w:cstheme="minorHAnsi"/>
        </w:rPr>
        <w:t>published</w:t>
      </w:r>
      <w:r>
        <w:rPr>
          <w:rFonts w:cstheme="minorHAnsi"/>
        </w:rPr>
        <w:t xml:space="preserve"> </w:t>
      </w:r>
      <w:r w:rsidRPr="0043166A">
        <w:rPr>
          <w:rFonts w:cstheme="minorHAnsi"/>
        </w:rPr>
        <w:t>findings on the effectiveness of a performance improvement module for dermatologists on the</w:t>
      </w:r>
      <w:r>
        <w:rPr>
          <w:rFonts w:cstheme="minorHAnsi"/>
        </w:rPr>
        <w:t xml:space="preserve"> </w:t>
      </w:r>
      <w:r w:rsidRPr="0043166A">
        <w:rPr>
          <w:rFonts w:cstheme="minorHAnsi"/>
        </w:rPr>
        <w:t xml:space="preserve">topic of psoriasis (Gist 2015). </w:t>
      </w:r>
      <w:r>
        <w:rPr>
          <w:rFonts w:cstheme="minorHAnsi"/>
        </w:rPr>
        <w:t>At the time of th</w:t>
      </w:r>
      <w:r w:rsidR="0025691F">
        <w:rPr>
          <w:rFonts w:cstheme="minorHAnsi"/>
        </w:rPr>
        <w:t>e</w:t>
      </w:r>
      <w:r>
        <w:rPr>
          <w:rFonts w:cstheme="minorHAnsi"/>
        </w:rPr>
        <w:t xml:space="preserve"> project </w:t>
      </w:r>
      <w:r w:rsidR="0025691F">
        <w:rPr>
          <w:rFonts w:cstheme="minorHAnsi"/>
        </w:rPr>
        <w:t xml:space="preserve">grant application </w:t>
      </w:r>
      <w:r>
        <w:rPr>
          <w:rFonts w:cstheme="minorHAnsi"/>
        </w:rPr>
        <w:t>submission, t</w:t>
      </w:r>
      <w:r w:rsidRPr="0043166A">
        <w:rPr>
          <w:rFonts w:cstheme="minorHAnsi"/>
        </w:rPr>
        <w:t xml:space="preserve">he AAD </w:t>
      </w:r>
      <w:r>
        <w:rPr>
          <w:rFonts w:cstheme="minorHAnsi"/>
        </w:rPr>
        <w:t>had</w:t>
      </w:r>
      <w:r w:rsidRPr="0043166A">
        <w:rPr>
          <w:rFonts w:cstheme="minorHAnsi"/>
        </w:rPr>
        <w:t xml:space="preserve"> 2 original manuscripts currently</w:t>
      </w:r>
      <w:r>
        <w:rPr>
          <w:rFonts w:cstheme="minorHAnsi"/>
        </w:rPr>
        <w:t xml:space="preserve"> </w:t>
      </w:r>
      <w:r w:rsidRPr="0043166A">
        <w:rPr>
          <w:rFonts w:cstheme="minorHAnsi"/>
        </w:rPr>
        <w:t xml:space="preserve">undergoing peer-review on the topics of </w:t>
      </w:r>
      <w:r w:rsidRPr="0043166A">
        <w:rPr>
          <w:rFonts w:cstheme="minorHAnsi"/>
        </w:rPr>
        <w:lastRenderedPageBreak/>
        <w:t>knowledge and competence retention following an</w:t>
      </w:r>
      <w:r>
        <w:rPr>
          <w:rFonts w:cstheme="minorHAnsi"/>
        </w:rPr>
        <w:t xml:space="preserve"> </w:t>
      </w:r>
      <w:r w:rsidRPr="0043166A">
        <w:rPr>
          <w:rFonts w:cstheme="minorHAnsi"/>
        </w:rPr>
        <w:t xml:space="preserve">online patient safety in dermatology activity and the effectiveness of </w:t>
      </w:r>
      <w:r w:rsidRPr="0043166A">
        <w:rPr>
          <w:rFonts w:cstheme="minorHAnsi"/>
          <w:i/>
          <w:iCs/>
        </w:rPr>
        <w:t>Translating Evidence into</w:t>
      </w:r>
      <w:r>
        <w:rPr>
          <w:rFonts w:cstheme="minorHAnsi"/>
          <w:i/>
          <w:iCs/>
        </w:rPr>
        <w:t xml:space="preserve"> </w:t>
      </w:r>
      <w:r w:rsidRPr="0043166A">
        <w:rPr>
          <w:rFonts w:cstheme="minorHAnsi"/>
          <w:i/>
          <w:iCs/>
        </w:rPr>
        <w:t xml:space="preserve">Practice: Psoriasis Guidelines </w:t>
      </w:r>
      <w:r w:rsidRPr="0043166A">
        <w:rPr>
          <w:rFonts w:cstheme="minorHAnsi"/>
        </w:rPr>
        <w:t>sessions in improving participant knowledge and positively</w:t>
      </w:r>
      <w:r>
        <w:rPr>
          <w:rFonts w:cstheme="minorHAnsi"/>
        </w:rPr>
        <w:t xml:space="preserve"> </w:t>
      </w:r>
      <w:r w:rsidRPr="0043166A">
        <w:rPr>
          <w:rFonts w:cstheme="minorHAnsi"/>
        </w:rPr>
        <w:t xml:space="preserve">impacting clinical practice. </w:t>
      </w:r>
    </w:p>
    <w:p w14:paraId="06E8FD03" w14:textId="77777777" w:rsidR="00B3386A" w:rsidRDefault="00B3386A" w:rsidP="008521DA">
      <w:pPr>
        <w:kinsoku w:val="0"/>
        <w:overflowPunct w:val="0"/>
        <w:autoSpaceDE w:val="0"/>
        <w:autoSpaceDN w:val="0"/>
        <w:adjustRightInd w:val="0"/>
        <w:spacing w:before="12" w:after="0" w:line="240" w:lineRule="auto"/>
        <w:rPr>
          <w:rFonts w:cstheme="minorHAnsi"/>
          <w:b/>
        </w:rPr>
      </w:pPr>
    </w:p>
    <w:p w14:paraId="362F1A18" w14:textId="0815F561" w:rsidR="008521DA" w:rsidRPr="008521DA" w:rsidRDefault="00D27247" w:rsidP="00544BD7">
      <w:pPr>
        <w:spacing w:after="0" w:line="240" w:lineRule="auto"/>
        <w:rPr>
          <w:rFonts w:cstheme="minorHAnsi"/>
        </w:rPr>
      </w:pPr>
      <w:r w:rsidRPr="000800F2">
        <w:rPr>
          <w:rFonts w:cstheme="minorHAnsi"/>
          <w:b/>
        </w:rPr>
        <w:t>Rationale</w:t>
      </w:r>
      <w:r w:rsidR="00090FA3" w:rsidRPr="000800F2">
        <w:rPr>
          <w:rFonts w:cstheme="minorHAnsi"/>
          <w:b/>
        </w:rPr>
        <w:br/>
      </w:r>
      <w:r w:rsidR="00AC032A" w:rsidRPr="000A4DBC">
        <w:rPr>
          <w:rFonts w:cstheme="minorHAnsi"/>
          <w:b/>
        </w:rPr>
        <w:t>Informal or formal frameworks, models, concepts, and/or </w:t>
      </w:r>
      <w:hyperlink r:id="rId12" w:anchor="Theory" w:history="1">
        <w:r w:rsidR="00AC032A" w:rsidRPr="000A4DBC">
          <w:rPr>
            <w:rStyle w:val="Hyperlink"/>
            <w:rFonts w:cstheme="minorHAnsi"/>
            <w:b/>
          </w:rPr>
          <w:t>theories</w:t>
        </w:r>
      </w:hyperlink>
      <w:r w:rsidR="00AC032A" w:rsidRPr="000A4DBC">
        <w:rPr>
          <w:rFonts w:cstheme="minorHAnsi"/>
          <w:b/>
        </w:rPr>
        <w:t> used to explain the </w:t>
      </w:r>
      <w:hyperlink r:id="rId13" w:anchor="Problem" w:history="1">
        <w:r w:rsidR="00AC032A" w:rsidRPr="000A4DBC">
          <w:rPr>
            <w:rStyle w:val="Hyperlink"/>
            <w:rFonts w:cstheme="minorHAnsi"/>
            <w:b/>
          </w:rPr>
          <w:t>problem</w:t>
        </w:r>
      </w:hyperlink>
      <w:r w:rsidR="00AC032A" w:rsidRPr="000A4DBC">
        <w:rPr>
          <w:rFonts w:cstheme="minorHAnsi"/>
          <w:b/>
        </w:rPr>
        <w:t>, any reasons or </w:t>
      </w:r>
      <w:hyperlink r:id="rId14" w:anchor="assumptions" w:history="1">
        <w:r w:rsidR="00AC032A" w:rsidRPr="000A4DBC">
          <w:rPr>
            <w:rStyle w:val="Hyperlink"/>
            <w:rFonts w:cstheme="minorHAnsi"/>
            <w:b/>
          </w:rPr>
          <w:t>assumptions</w:t>
        </w:r>
      </w:hyperlink>
      <w:r w:rsidR="00AC032A" w:rsidRPr="000A4DBC">
        <w:rPr>
          <w:rFonts w:cstheme="minorHAnsi"/>
          <w:b/>
        </w:rPr>
        <w:t> that were used to develop the </w:t>
      </w:r>
      <w:hyperlink r:id="rId15" w:anchor="Interventions" w:history="1">
        <w:r w:rsidR="00AC032A" w:rsidRPr="000A4DBC">
          <w:rPr>
            <w:rStyle w:val="Hyperlink"/>
            <w:rFonts w:cstheme="minorHAnsi"/>
            <w:b/>
          </w:rPr>
          <w:t>intervention(s), </w:t>
        </w:r>
      </w:hyperlink>
      <w:r w:rsidR="00AC032A" w:rsidRPr="000A4DBC">
        <w:rPr>
          <w:rFonts w:cstheme="minorHAnsi"/>
          <w:b/>
        </w:rPr>
        <w:t>and reasons why the </w:t>
      </w:r>
      <w:hyperlink r:id="rId16" w:anchor="Interventions" w:history="1">
        <w:r w:rsidR="00AC032A" w:rsidRPr="000A4DBC">
          <w:rPr>
            <w:rStyle w:val="Hyperlink"/>
            <w:rFonts w:cstheme="minorHAnsi"/>
            <w:b/>
          </w:rPr>
          <w:t>intervention(s)</w:t>
        </w:r>
      </w:hyperlink>
      <w:r w:rsidR="00AC032A" w:rsidRPr="000A4DBC">
        <w:rPr>
          <w:rFonts w:cstheme="minorHAnsi"/>
          <w:b/>
        </w:rPr>
        <w:t> was expected to work </w:t>
      </w:r>
      <w:r w:rsidR="00AC032A" w:rsidRPr="000A4DBC">
        <w:rPr>
          <w:rFonts w:cstheme="minorHAnsi"/>
          <w:b/>
        </w:rPr>
        <w:br/>
      </w:r>
      <w:r w:rsidR="009465AB">
        <w:rPr>
          <w:rFonts w:cstheme="minorHAnsi"/>
        </w:rPr>
        <w:t>T</w:t>
      </w:r>
      <w:r w:rsidR="00090FA3" w:rsidRPr="00961B66">
        <w:rPr>
          <w:rFonts w:cstheme="minorHAnsi"/>
        </w:rPr>
        <w:t xml:space="preserve">he data </w:t>
      </w:r>
      <w:r w:rsidR="00090FA3" w:rsidRPr="000800F2">
        <w:rPr>
          <w:rFonts w:cstheme="minorHAnsi"/>
        </w:rPr>
        <w:t xml:space="preserve">above </w:t>
      </w:r>
      <w:r w:rsidR="00090FA3" w:rsidRPr="00961B66">
        <w:rPr>
          <w:rFonts w:cstheme="minorHAnsi"/>
        </w:rPr>
        <w:t>suggest</w:t>
      </w:r>
      <w:r w:rsidR="009465AB">
        <w:rPr>
          <w:rFonts w:cstheme="minorHAnsi"/>
        </w:rPr>
        <w:t>ed</w:t>
      </w:r>
      <w:r w:rsidR="00090FA3" w:rsidRPr="000800F2">
        <w:rPr>
          <w:rFonts w:cstheme="minorHAnsi"/>
        </w:rPr>
        <w:t xml:space="preserve"> </w:t>
      </w:r>
      <w:r w:rsidR="00090FA3" w:rsidRPr="00961B66">
        <w:rPr>
          <w:rFonts w:cstheme="minorHAnsi"/>
        </w:rPr>
        <w:t xml:space="preserve">that </w:t>
      </w:r>
      <w:r w:rsidR="00B0036B">
        <w:rPr>
          <w:rFonts w:cstheme="minorHAnsi"/>
        </w:rPr>
        <w:t xml:space="preserve">if the </w:t>
      </w:r>
      <w:r w:rsidR="00090FA3" w:rsidRPr="00961B66">
        <w:rPr>
          <w:rFonts w:cstheme="minorHAnsi"/>
        </w:rPr>
        <w:t>AAD’s live and online educational activities for psoriasis and PsA</w:t>
      </w:r>
      <w:r w:rsidR="00FD6C9D">
        <w:rPr>
          <w:rFonts w:cstheme="minorHAnsi"/>
        </w:rPr>
        <w:t xml:space="preserve"> were </w:t>
      </w:r>
      <w:r w:rsidR="00B0036B">
        <w:rPr>
          <w:rFonts w:cstheme="minorHAnsi"/>
        </w:rPr>
        <w:t xml:space="preserve">enhanced to offer a </w:t>
      </w:r>
      <w:r w:rsidR="00090FA3" w:rsidRPr="00961B66">
        <w:rPr>
          <w:rFonts w:cstheme="minorHAnsi"/>
        </w:rPr>
        <w:t xml:space="preserve">blended-learning experience focused on the assessment of psoriasis, PsA, and QOL, </w:t>
      </w:r>
      <w:r w:rsidR="00B0036B">
        <w:rPr>
          <w:rFonts w:cstheme="minorHAnsi"/>
        </w:rPr>
        <w:t xml:space="preserve">that </w:t>
      </w:r>
      <w:r w:rsidR="00090FA3" w:rsidRPr="00961B66">
        <w:rPr>
          <w:rFonts w:cstheme="minorHAnsi"/>
        </w:rPr>
        <w:t xml:space="preserve">improved results in </w:t>
      </w:r>
      <w:r w:rsidR="0025691F">
        <w:rPr>
          <w:rFonts w:cstheme="minorHAnsi"/>
        </w:rPr>
        <w:t xml:space="preserve">the gaps </w:t>
      </w:r>
      <w:r w:rsidR="00B0036B">
        <w:rPr>
          <w:rFonts w:cstheme="minorHAnsi"/>
        </w:rPr>
        <w:t>could be achieved</w:t>
      </w:r>
      <w:r w:rsidR="00090FA3" w:rsidRPr="00961B66">
        <w:rPr>
          <w:rFonts w:cstheme="minorHAnsi"/>
        </w:rPr>
        <w:t>.</w:t>
      </w:r>
      <w:r w:rsidR="00B3386A">
        <w:rPr>
          <w:rFonts w:cstheme="minorHAnsi"/>
        </w:rPr>
        <w:t xml:space="preserve">  </w:t>
      </w:r>
      <w:r w:rsidR="00B02C55">
        <w:rPr>
          <w:rFonts w:cstheme="minorHAnsi"/>
        </w:rPr>
        <w:t>B</w:t>
      </w:r>
      <w:r w:rsidR="008521DA" w:rsidRPr="008521DA">
        <w:rPr>
          <w:rFonts w:cstheme="minorHAnsi"/>
        </w:rPr>
        <w:t xml:space="preserve">ased on </w:t>
      </w:r>
      <w:r w:rsidR="0025691F">
        <w:rPr>
          <w:rFonts w:cstheme="minorHAnsi"/>
        </w:rPr>
        <w:t xml:space="preserve">participation numbers for </w:t>
      </w:r>
      <w:r w:rsidR="008521DA" w:rsidRPr="008521DA">
        <w:rPr>
          <w:rFonts w:cstheme="minorHAnsi"/>
        </w:rPr>
        <w:t xml:space="preserve">previous psoriasis sessions </w:t>
      </w:r>
      <w:r w:rsidR="00BB3FE0">
        <w:rPr>
          <w:rFonts w:cstheme="minorHAnsi"/>
        </w:rPr>
        <w:t xml:space="preserve">held by the Academy since 2011 </w:t>
      </w:r>
      <w:r w:rsidR="008521DA" w:rsidRPr="008521DA">
        <w:rPr>
          <w:rFonts w:cstheme="minorHAnsi"/>
        </w:rPr>
        <w:t>and online</w:t>
      </w:r>
      <w:r w:rsidR="00E46176">
        <w:rPr>
          <w:rFonts w:cstheme="minorHAnsi"/>
        </w:rPr>
        <w:t xml:space="preserve"> </w:t>
      </w:r>
      <w:r w:rsidR="008521DA" w:rsidRPr="008521DA">
        <w:rPr>
          <w:rFonts w:cstheme="minorHAnsi"/>
        </w:rPr>
        <w:t>module</w:t>
      </w:r>
      <w:r w:rsidR="00B0036B">
        <w:rPr>
          <w:rFonts w:cstheme="minorHAnsi"/>
        </w:rPr>
        <w:t xml:space="preserve"> participation</w:t>
      </w:r>
      <w:r w:rsidR="00AC032A">
        <w:rPr>
          <w:rFonts w:cstheme="minorHAnsi"/>
        </w:rPr>
        <w:t xml:space="preserve">, </w:t>
      </w:r>
      <w:r w:rsidR="00B0036B">
        <w:rPr>
          <w:rFonts w:cstheme="minorHAnsi"/>
        </w:rPr>
        <w:t xml:space="preserve">a </w:t>
      </w:r>
      <w:r w:rsidR="0025691F">
        <w:rPr>
          <w:rFonts w:cstheme="minorHAnsi"/>
        </w:rPr>
        <w:t xml:space="preserve">similar </w:t>
      </w:r>
      <w:r w:rsidR="00AC032A" w:rsidRPr="008521DA">
        <w:rPr>
          <w:rFonts w:cstheme="minorHAnsi"/>
        </w:rPr>
        <w:t xml:space="preserve">robust participation </w:t>
      </w:r>
      <w:r w:rsidR="00AC032A">
        <w:rPr>
          <w:rFonts w:cstheme="minorHAnsi"/>
        </w:rPr>
        <w:t xml:space="preserve">of 700 participants </w:t>
      </w:r>
      <w:r w:rsidR="00B0036B">
        <w:rPr>
          <w:rFonts w:cstheme="minorHAnsi"/>
        </w:rPr>
        <w:t>for th</w:t>
      </w:r>
      <w:r w:rsidR="007D1DE9">
        <w:rPr>
          <w:rFonts w:cstheme="minorHAnsi"/>
        </w:rPr>
        <w:t xml:space="preserve">e </w:t>
      </w:r>
      <w:r w:rsidR="00B0036B">
        <w:rPr>
          <w:rFonts w:cstheme="minorHAnsi"/>
        </w:rPr>
        <w:t xml:space="preserve">project </w:t>
      </w:r>
      <w:r w:rsidR="00AC032A">
        <w:rPr>
          <w:rFonts w:cstheme="minorHAnsi"/>
        </w:rPr>
        <w:t>was expected</w:t>
      </w:r>
      <w:r w:rsidR="008521DA" w:rsidRPr="008521DA">
        <w:rPr>
          <w:rFonts w:cstheme="minorHAnsi"/>
        </w:rPr>
        <w:t xml:space="preserve">. </w:t>
      </w:r>
      <w:r w:rsidR="0054222C">
        <w:rPr>
          <w:rFonts w:cstheme="minorHAnsi"/>
        </w:rPr>
        <w:t xml:space="preserve">Out of this 700 targeted number of participants, </w:t>
      </w:r>
      <w:r w:rsidR="0054222C" w:rsidRPr="008521DA">
        <w:rPr>
          <w:rFonts w:cstheme="minorHAnsi"/>
        </w:rPr>
        <w:t xml:space="preserve">250 clinicians </w:t>
      </w:r>
      <w:r w:rsidR="0054222C">
        <w:rPr>
          <w:rFonts w:cstheme="minorHAnsi"/>
        </w:rPr>
        <w:t xml:space="preserve">were anticipated to </w:t>
      </w:r>
      <w:r w:rsidR="0054222C" w:rsidRPr="008521DA">
        <w:rPr>
          <w:rFonts w:cstheme="minorHAnsi"/>
        </w:rPr>
        <w:t>complete the entire learning experience</w:t>
      </w:r>
      <w:r w:rsidR="007D1DE9">
        <w:rPr>
          <w:rFonts w:cstheme="minorHAnsi"/>
        </w:rPr>
        <w:t xml:space="preserve"> comprised of the live workshop and post workshop implementation </w:t>
      </w:r>
      <w:r w:rsidR="0025691F">
        <w:rPr>
          <w:rFonts w:cstheme="minorHAnsi"/>
        </w:rPr>
        <w:t>activities</w:t>
      </w:r>
      <w:r w:rsidR="0054222C" w:rsidRPr="008521DA">
        <w:rPr>
          <w:rFonts w:cstheme="minorHAnsi"/>
        </w:rPr>
        <w:t>.</w:t>
      </w:r>
      <w:r w:rsidR="0054222C">
        <w:rPr>
          <w:rFonts w:cstheme="minorHAnsi"/>
        </w:rPr>
        <w:t xml:space="preserve"> </w:t>
      </w:r>
      <w:r w:rsidR="004B6531">
        <w:rPr>
          <w:rFonts w:cstheme="minorHAnsi"/>
        </w:rPr>
        <w:t>P</w:t>
      </w:r>
      <w:r w:rsidR="008521DA" w:rsidRPr="008521DA">
        <w:rPr>
          <w:rFonts w:cstheme="minorHAnsi"/>
        </w:rPr>
        <w:t xml:space="preserve">articipants </w:t>
      </w:r>
      <w:r w:rsidR="00E46176">
        <w:rPr>
          <w:rFonts w:cstheme="minorHAnsi"/>
        </w:rPr>
        <w:t>were</w:t>
      </w:r>
      <w:r w:rsidR="0025691F">
        <w:rPr>
          <w:rFonts w:cstheme="minorHAnsi"/>
        </w:rPr>
        <w:t xml:space="preserve"> </w:t>
      </w:r>
      <w:r w:rsidR="00244E7A">
        <w:rPr>
          <w:rFonts w:cstheme="minorHAnsi"/>
        </w:rPr>
        <w:t xml:space="preserve">actively </w:t>
      </w:r>
      <w:r w:rsidR="00E46176">
        <w:rPr>
          <w:rFonts w:cstheme="minorHAnsi"/>
        </w:rPr>
        <w:t xml:space="preserve">recruited </w:t>
      </w:r>
      <w:r w:rsidR="008521DA" w:rsidRPr="008521DA">
        <w:rPr>
          <w:rFonts w:cstheme="minorHAnsi"/>
        </w:rPr>
        <w:t xml:space="preserve">through </w:t>
      </w:r>
      <w:r w:rsidR="007D1DE9">
        <w:rPr>
          <w:rFonts w:cstheme="minorHAnsi"/>
        </w:rPr>
        <w:t xml:space="preserve">a robust </w:t>
      </w:r>
      <w:r w:rsidR="008521DA" w:rsidRPr="008521DA">
        <w:rPr>
          <w:rFonts w:cstheme="minorHAnsi"/>
        </w:rPr>
        <w:t>targeted outreach and engagement</w:t>
      </w:r>
      <w:r w:rsidR="00AC032A">
        <w:rPr>
          <w:rFonts w:cstheme="minorHAnsi"/>
        </w:rPr>
        <w:t xml:space="preserve"> </w:t>
      </w:r>
      <w:r w:rsidR="007D1DE9">
        <w:rPr>
          <w:rFonts w:cstheme="minorHAnsi"/>
        </w:rPr>
        <w:t>of</w:t>
      </w:r>
      <w:r w:rsidR="008521DA" w:rsidRPr="008521DA">
        <w:rPr>
          <w:rFonts w:cstheme="minorHAnsi"/>
        </w:rPr>
        <w:t xml:space="preserve"> champion psoriasis and PsA experts</w:t>
      </w:r>
      <w:r w:rsidR="007D1DE9">
        <w:rPr>
          <w:rFonts w:cstheme="minorHAnsi"/>
        </w:rPr>
        <w:t xml:space="preserve"> to encourage </w:t>
      </w:r>
      <w:r w:rsidR="0025691F">
        <w:rPr>
          <w:rFonts w:cstheme="minorHAnsi"/>
        </w:rPr>
        <w:t xml:space="preserve">their </w:t>
      </w:r>
      <w:r w:rsidR="000422FF">
        <w:rPr>
          <w:rFonts w:cstheme="minorHAnsi"/>
        </w:rPr>
        <w:t>colleagues</w:t>
      </w:r>
      <w:r w:rsidR="007D1DE9">
        <w:rPr>
          <w:rFonts w:cstheme="minorHAnsi"/>
        </w:rPr>
        <w:t xml:space="preserve"> to participate. </w:t>
      </w:r>
      <w:r w:rsidR="001F33DB">
        <w:rPr>
          <w:rFonts w:cstheme="minorHAnsi"/>
        </w:rPr>
        <w:t xml:space="preserve">It was believed that incentives would entice the </w:t>
      </w:r>
      <w:r w:rsidR="007D1DE9">
        <w:rPr>
          <w:rFonts w:cstheme="minorHAnsi"/>
        </w:rPr>
        <w:t xml:space="preserve">learner </w:t>
      </w:r>
      <w:r w:rsidR="001F33DB">
        <w:rPr>
          <w:rFonts w:cstheme="minorHAnsi"/>
        </w:rPr>
        <w:t xml:space="preserve">to both </w:t>
      </w:r>
      <w:r w:rsidR="007D1DE9">
        <w:rPr>
          <w:rFonts w:cstheme="minorHAnsi"/>
        </w:rPr>
        <w:t>p</w:t>
      </w:r>
      <w:r w:rsidR="008521DA" w:rsidRPr="008521DA">
        <w:rPr>
          <w:rFonts w:cstheme="minorHAnsi"/>
        </w:rPr>
        <w:t>articipat</w:t>
      </w:r>
      <w:r w:rsidR="001F33DB">
        <w:rPr>
          <w:rFonts w:cstheme="minorHAnsi"/>
        </w:rPr>
        <w:t xml:space="preserve">e </w:t>
      </w:r>
      <w:r w:rsidR="00480590">
        <w:rPr>
          <w:rFonts w:cstheme="minorHAnsi"/>
        </w:rPr>
        <w:t xml:space="preserve">as well as </w:t>
      </w:r>
      <w:r w:rsidR="001F33DB">
        <w:rPr>
          <w:rFonts w:cstheme="minorHAnsi"/>
        </w:rPr>
        <w:t>complete the post workshop implementation activities. T</w:t>
      </w:r>
      <w:r w:rsidR="00DC0289">
        <w:rPr>
          <w:rFonts w:cstheme="minorHAnsi"/>
        </w:rPr>
        <w:t>his</w:t>
      </w:r>
      <w:bookmarkStart w:id="10" w:name="_Hlk6902938"/>
      <w:r w:rsidR="00DC0289">
        <w:rPr>
          <w:rFonts w:cstheme="minorHAnsi"/>
        </w:rPr>
        <w:t xml:space="preserve"> </w:t>
      </w:r>
      <w:r w:rsidR="008521DA" w:rsidRPr="008521DA">
        <w:rPr>
          <w:rFonts w:cstheme="minorHAnsi"/>
        </w:rPr>
        <w:t>incentiv</w:t>
      </w:r>
      <w:r w:rsidR="00DC0289">
        <w:rPr>
          <w:rFonts w:cstheme="minorHAnsi"/>
        </w:rPr>
        <w:t>e was</w:t>
      </w:r>
      <w:r w:rsidR="008521DA" w:rsidRPr="008521DA">
        <w:rPr>
          <w:rFonts w:cstheme="minorHAnsi"/>
        </w:rPr>
        <w:t xml:space="preserve"> a framed completion certificate signed by the chair of the AAD’s Council on</w:t>
      </w:r>
      <w:r w:rsidR="00B3386A">
        <w:rPr>
          <w:rFonts w:cstheme="minorHAnsi"/>
        </w:rPr>
        <w:t xml:space="preserve"> </w:t>
      </w:r>
      <w:r w:rsidR="008521DA" w:rsidRPr="008521DA">
        <w:rPr>
          <w:rFonts w:cstheme="minorHAnsi"/>
        </w:rPr>
        <w:t xml:space="preserve">Education and a $30 AAD store gift certificate </w:t>
      </w:r>
      <w:r w:rsidR="00E46176">
        <w:rPr>
          <w:rFonts w:cstheme="minorHAnsi"/>
        </w:rPr>
        <w:t xml:space="preserve">for use </w:t>
      </w:r>
      <w:r w:rsidR="008521DA" w:rsidRPr="008521DA">
        <w:rPr>
          <w:rFonts w:cstheme="minorHAnsi"/>
        </w:rPr>
        <w:t>toward additional educational</w:t>
      </w:r>
      <w:r w:rsidR="00AC032A">
        <w:rPr>
          <w:rFonts w:cstheme="minorHAnsi"/>
        </w:rPr>
        <w:t xml:space="preserve"> </w:t>
      </w:r>
      <w:r w:rsidR="008521DA" w:rsidRPr="008521DA">
        <w:rPr>
          <w:rFonts w:cstheme="minorHAnsi"/>
        </w:rPr>
        <w:t xml:space="preserve">activities or 100 psoriasis and PsA pamphlets for patients. </w:t>
      </w:r>
      <w:r w:rsidR="00951764" w:rsidRPr="008521DA">
        <w:rPr>
          <w:rFonts w:cstheme="minorHAnsi"/>
        </w:rPr>
        <w:t xml:space="preserve">These incentives </w:t>
      </w:r>
      <w:r w:rsidR="00951764">
        <w:rPr>
          <w:rFonts w:cstheme="minorHAnsi"/>
        </w:rPr>
        <w:t xml:space="preserve">were </w:t>
      </w:r>
      <w:r w:rsidR="00951764" w:rsidRPr="008521DA">
        <w:rPr>
          <w:rFonts w:cstheme="minorHAnsi"/>
        </w:rPr>
        <w:t>available to participants who complete</w:t>
      </w:r>
      <w:r w:rsidR="00951764">
        <w:rPr>
          <w:rFonts w:cstheme="minorHAnsi"/>
        </w:rPr>
        <w:t>d</w:t>
      </w:r>
      <w:r w:rsidR="00951764" w:rsidRPr="008521DA">
        <w:rPr>
          <w:rFonts w:cstheme="minorHAnsi"/>
        </w:rPr>
        <w:t xml:space="preserve"> the entire learning experience</w:t>
      </w:r>
      <w:r w:rsidR="00951764">
        <w:rPr>
          <w:rFonts w:cstheme="minorHAnsi"/>
        </w:rPr>
        <w:t xml:space="preserve"> (e.g. workshop and post workshop </w:t>
      </w:r>
      <w:r w:rsidR="0025691F">
        <w:rPr>
          <w:rFonts w:cstheme="minorHAnsi"/>
        </w:rPr>
        <w:t xml:space="preserve">implementation </w:t>
      </w:r>
      <w:r w:rsidR="00951764">
        <w:rPr>
          <w:rFonts w:cstheme="minorHAnsi"/>
        </w:rPr>
        <w:t xml:space="preserve">activities). </w:t>
      </w:r>
      <w:bookmarkStart w:id="11" w:name="_Hlk7676434"/>
      <w:r w:rsidR="00951764">
        <w:rPr>
          <w:rFonts w:cstheme="minorHAnsi"/>
        </w:rPr>
        <w:t xml:space="preserve">After the </w:t>
      </w:r>
      <w:r w:rsidR="0025691F">
        <w:rPr>
          <w:rFonts w:cstheme="minorHAnsi"/>
        </w:rPr>
        <w:t>blended learning experience was over</w:t>
      </w:r>
      <w:r w:rsidR="00951764">
        <w:rPr>
          <w:rFonts w:cstheme="minorHAnsi"/>
        </w:rPr>
        <w:t xml:space="preserve">, </w:t>
      </w:r>
      <w:r w:rsidR="00740596">
        <w:rPr>
          <w:rFonts w:cstheme="minorHAnsi"/>
        </w:rPr>
        <w:t>an online</w:t>
      </w:r>
      <w:r w:rsidR="00951764">
        <w:rPr>
          <w:rFonts w:cstheme="minorHAnsi"/>
        </w:rPr>
        <w:t xml:space="preserve"> activity </w:t>
      </w:r>
      <w:r w:rsidR="00900BC6">
        <w:rPr>
          <w:rFonts w:cstheme="minorHAnsi"/>
        </w:rPr>
        <w:t xml:space="preserve">comprised of the </w:t>
      </w:r>
      <w:r w:rsidR="0025691F">
        <w:rPr>
          <w:rFonts w:cstheme="minorHAnsi"/>
        </w:rPr>
        <w:t xml:space="preserve">blended learning experience </w:t>
      </w:r>
      <w:r w:rsidR="00900BC6">
        <w:rPr>
          <w:rFonts w:cstheme="minorHAnsi"/>
        </w:rPr>
        <w:t xml:space="preserve">was launched. This was expected to be attractive to those learners who could not attend the </w:t>
      </w:r>
      <w:r w:rsidR="0025691F">
        <w:rPr>
          <w:rFonts w:cstheme="minorHAnsi"/>
        </w:rPr>
        <w:t>initial learning experience</w:t>
      </w:r>
      <w:r w:rsidR="00900BC6">
        <w:rPr>
          <w:rFonts w:cstheme="minorHAnsi"/>
        </w:rPr>
        <w:t xml:space="preserve"> and who wanted t</w:t>
      </w:r>
      <w:r w:rsidR="004B6531">
        <w:rPr>
          <w:rFonts w:cstheme="minorHAnsi"/>
        </w:rPr>
        <w:t>he</w:t>
      </w:r>
      <w:r w:rsidR="00900BC6">
        <w:rPr>
          <w:rFonts w:cstheme="minorHAnsi"/>
        </w:rPr>
        <w:t xml:space="preserve"> flexibility that an online activity offers</w:t>
      </w:r>
      <w:r w:rsidR="00951764">
        <w:rPr>
          <w:rFonts w:cstheme="minorHAnsi"/>
        </w:rPr>
        <w:t xml:space="preserve">. </w:t>
      </w:r>
      <w:bookmarkEnd w:id="11"/>
      <w:r w:rsidR="00900BC6">
        <w:rPr>
          <w:rFonts w:cstheme="minorHAnsi"/>
        </w:rPr>
        <w:t>To boost participation of these learners, t</w:t>
      </w:r>
      <w:r w:rsidR="00951764">
        <w:rPr>
          <w:rFonts w:cstheme="minorHAnsi"/>
        </w:rPr>
        <w:t xml:space="preserve">he </w:t>
      </w:r>
      <w:r w:rsidR="007D1DE9">
        <w:rPr>
          <w:rFonts w:cstheme="minorHAnsi"/>
        </w:rPr>
        <w:t xml:space="preserve">online activity </w:t>
      </w:r>
      <w:r w:rsidR="00244E7A">
        <w:rPr>
          <w:rFonts w:cstheme="minorHAnsi"/>
        </w:rPr>
        <w:t>i</w:t>
      </w:r>
      <w:r w:rsidR="00AC032A">
        <w:rPr>
          <w:rFonts w:cstheme="minorHAnsi"/>
        </w:rPr>
        <w:t>ncentive</w:t>
      </w:r>
      <w:r w:rsidR="00244E7A">
        <w:rPr>
          <w:rFonts w:cstheme="minorHAnsi"/>
        </w:rPr>
        <w:t xml:space="preserve"> </w:t>
      </w:r>
      <w:r w:rsidR="00DC0289">
        <w:rPr>
          <w:rFonts w:cstheme="minorHAnsi"/>
        </w:rPr>
        <w:t xml:space="preserve">for learners </w:t>
      </w:r>
      <w:r w:rsidR="00244E7A">
        <w:rPr>
          <w:rFonts w:cstheme="minorHAnsi"/>
        </w:rPr>
        <w:t>was</w:t>
      </w:r>
      <w:r w:rsidR="00AC032A">
        <w:rPr>
          <w:rFonts w:cstheme="minorHAnsi"/>
        </w:rPr>
        <w:t xml:space="preserve"> increased to </w:t>
      </w:r>
      <w:r w:rsidR="00244E7A">
        <w:rPr>
          <w:rFonts w:cstheme="minorHAnsi"/>
        </w:rPr>
        <w:t xml:space="preserve">a </w:t>
      </w:r>
      <w:r w:rsidR="00AC032A">
        <w:rPr>
          <w:rFonts w:cstheme="minorHAnsi"/>
        </w:rPr>
        <w:t>$100 AAD store gift certificate</w:t>
      </w:r>
      <w:r w:rsidR="0054222C">
        <w:rPr>
          <w:rFonts w:cstheme="minorHAnsi"/>
        </w:rPr>
        <w:t xml:space="preserve"> to </w:t>
      </w:r>
      <w:r w:rsidR="00951764">
        <w:rPr>
          <w:rFonts w:cstheme="minorHAnsi"/>
        </w:rPr>
        <w:t>encourage</w:t>
      </w:r>
      <w:r w:rsidR="0054222C">
        <w:rPr>
          <w:rFonts w:cstheme="minorHAnsi"/>
        </w:rPr>
        <w:t xml:space="preserve"> learners to </w:t>
      </w:r>
      <w:r w:rsidR="00900BC6">
        <w:rPr>
          <w:rFonts w:cstheme="minorHAnsi"/>
        </w:rPr>
        <w:t xml:space="preserve">both enroll and </w:t>
      </w:r>
      <w:r w:rsidR="00951764">
        <w:rPr>
          <w:rFonts w:cstheme="minorHAnsi"/>
        </w:rPr>
        <w:t xml:space="preserve">complete the </w:t>
      </w:r>
      <w:r w:rsidR="0054222C">
        <w:rPr>
          <w:rFonts w:cstheme="minorHAnsi"/>
        </w:rPr>
        <w:t>activity</w:t>
      </w:r>
      <w:r w:rsidR="00AC032A">
        <w:rPr>
          <w:rFonts w:cstheme="minorHAnsi"/>
        </w:rPr>
        <w:t xml:space="preserve">. </w:t>
      </w:r>
      <w:r w:rsidR="008521DA" w:rsidRPr="008521DA">
        <w:rPr>
          <w:rFonts w:cstheme="minorHAnsi"/>
        </w:rPr>
        <w:t xml:space="preserve"> </w:t>
      </w:r>
      <w:r w:rsidR="00900BC6">
        <w:rPr>
          <w:rFonts w:cstheme="minorHAnsi"/>
        </w:rPr>
        <w:br/>
      </w:r>
      <w:r w:rsidR="00E46176">
        <w:rPr>
          <w:rFonts w:cstheme="minorHAnsi"/>
        </w:rPr>
        <w:t xml:space="preserve">For patient data, </w:t>
      </w:r>
      <w:r w:rsidR="00951764">
        <w:rPr>
          <w:rFonts w:cstheme="minorHAnsi"/>
        </w:rPr>
        <w:t xml:space="preserve">it was anticipated that </w:t>
      </w:r>
      <w:r w:rsidR="008521DA" w:rsidRPr="008521DA">
        <w:rPr>
          <w:rFonts w:cstheme="minorHAnsi"/>
        </w:rPr>
        <w:t xml:space="preserve">1,000 patients </w:t>
      </w:r>
      <w:r w:rsidR="00E46176">
        <w:rPr>
          <w:rFonts w:cstheme="minorHAnsi"/>
        </w:rPr>
        <w:t>would</w:t>
      </w:r>
      <w:r w:rsidR="008521DA" w:rsidRPr="008521DA">
        <w:rPr>
          <w:rFonts w:cstheme="minorHAnsi"/>
        </w:rPr>
        <w:t xml:space="preserve"> be successfully recruited </w:t>
      </w:r>
      <w:r w:rsidR="00951764">
        <w:rPr>
          <w:rFonts w:cstheme="minorHAnsi"/>
        </w:rPr>
        <w:t xml:space="preserve">during the implementation </w:t>
      </w:r>
      <w:r w:rsidR="0025691F">
        <w:rPr>
          <w:rFonts w:cstheme="minorHAnsi"/>
        </w:rPr>
        <w:t>activities</w:t>
      </w:r>
      <w:r w:rsidR="00951764">
        <w:rPr>
          <w:rFonts w:cstheme="minorHAnsi"/>
        </w:rPr>
        <w:t xml:space="preserve"> and </w:t>
      </w:r>
      <w:r w:rsidR="008521DA" w:rsidRPr="008521DA">
        <w:rPr>
          <w:rFonts w:cstheme="minorHAnsi"/>
        </w:rPr>
        <w:t xml:space="preserve">complete patient </w:t>
      </w:r>
      <w:r w:rsidR="0054222C">
        <w:rPr>
          <w:rFonts w:cstheme="minorHAnsi"/>
        </w:rPr>
        <w:t xml:space="preserve">QOL </w:t>
      </w:r>
      <w:r w:rsidR="00244E7A">
        <w:rPr>
          <w:rFonts w:cstheme="minorHAnsi"/>
        </w:rPr>
        <w:t>surveys</w:t>
      </w:r>
      <w:r w:rsidR="00AC032A">
        <w:rPr>
          <w:rFonts w:cstheme="minorHAnsi"/>
        </w:rPr>
        <w:t xml:space="preserve">. Patients </w:t>
      </w:r>
      <w:r w:rsidR="000C78E5">
        <w:rPr>
          <w:rFonts w:cstheme="minorHAnsi"/>
        </w:rPr>
        <w:t xml:space="preserve">who were to be recruited </w:t>
      </w:r>
      <w:r w:rsidR="00AC032A">
        <w:rPr>
          <w:rFonts w:cstheme="minorHAnsi"/>
        </w:rPr>
        <w:t xml:space="preserve">were incentivized with a </w:t>
      </w:r>
      <w:r w:rsidR="008521DA" w:rsidRPr="008521DA">
        <w:rPr>
          <w:rFonts w:cstheme="minorHAnsi"/>
        </w:rPr>
        <w:t xml:space="preserve">$50 </w:t>
      </w:r>
      <w:r w:rsidR="0025691F">
        <w:rPr>
          <w:rFonts w:cstheme="minorHAnsi"/>
        </w:rPr>
        <w:t>Amazon</w:t>
      </w:r>
      <w:r w:rsidR="008521DA" w:rsidRPr="008521DA">
        <w:rPr>
          <w:rFonts w:cstheme="minorHAnsi"/>
        </w:rPr>
        <w:t xml:space="preserve"> </w:t>
      </w:r>
      <w:proofErr w:type="spellStart"/>
      <w:r w:rsidR="004B59D0">
        <w:rPr>
          <w:rFonts w:cstheme="minorHAnsi"/>
        </w:rPr>
        <w:t>e</w:t>
      </w:r>
      <w:r w:rsidR="00740596">
        <w:rPr>
          <w:rFonts w:cstheme="minorHAnsi"/>
        </w:rPr>
        <w:t>gift</w:t>
      </w:r>
      <w:r w:rsidR="008521DA" w:rsidRPr="008521DA">
        <w:rPr>
          <w:rFonts w:cstheme="minorHAnsi"/>
        </w:rPr>
        <w:t>card</w:t>
      </w:r>
      <w:proofErr w:type="spellEnd"/>
      <w:r w:rsidR="008521DA" w:rsidRPr="008521DA">
        <w:rPr>
          <w:rFonts w:cstheme="minorHAnsi"/>
        </w:rPr>
        <w:t xml:space="preserve"> for their participation.</w:t>
      </w:r>
      <w:r w:rsidR="00E46176">
        <w:rPr>
          <w:rFonts w:cstheme="minorHAnsi"/>
        </w:rPr>
        <w:t xml:space="preserve"> </w:t>
      </w:r>
      <w:r w:rsidR="00900BC6">
        <w:rPr>
          <w:rFonts w:cstheme="minorHAnsi"/>
        </w:rPr>
        <w:t xml:space="preserve">Due to the lack of patient recruitment and therefore lack of patient </w:t>
      </w:r>
      <w:r w:rsidR="00740596">
        <w:rPr>
          <w:rFonts w:cstheme="minorHAnsi"/>
        </w:rPr>
        <w:t>questionnaires</w:t>
      </w:r>
      <w:r w:rsidR="00900BC6">
        <w:rPr>
          <w:rFonts w:cstheme="minorHAnsi"/>
        </w:rPr>
        <w:t>, t</w:t>
      </w:r>
      <w:r w:rsidR="00AC032A">
        <w:rPr>
          <w:rFonts w:cstheme="minorHAnsi"/>
        </w:rPr>
        <w:t>h</w:t>
      </w:r>
      <w:r w:rsidR="007D1DE9">
        <w:rPr>
          <w:rFonts w:cstheme="minorHAnsi"/>
        </w:rPr>
        <w:t>e</w:t>
      </w:r>
      <w:r w:rsidR="00AC032A">
        <w:rPr>
          <w:rFonts w:cstheme="minorHAnsi"/>
        </w:rPr>
        <w:t xml:space="preserve"> incentive </w:t>
      </w:r>
      <w:r w:rsidR="007D1DE9">
        <w:rPr>
          <w:rFonts w:cstheme="minorHAnsi"/>
        </w:rPr>
        <w:t xml:space="preserve">for </w:t>
      </w:r>
      <w:r w:rsidR="00BC69EC">
        <w:rPr>
          <w:rFonts w:cstheme="minorHAnsi"/>
        </w:rPr>
        <w:t xml:space="preserve">patients </w:t>
      </w:r>
      <w:r w:rsidR="0025691F">
        <w:rPr>
          <w:rFonts w:cstheme="minorHAnsi"/>
        </w:rPr>
        <w:t xml:space="preserve">during the online activity </w:t>
      </w:r>
      <w:r w:rsidR="00BC69EC">
        <w:rPr>
          <w:rFonts w:cstheme="minorHAnsi"/>
        </w:rPr>
        <w:t xml:space="preserve">was increased </w:t>
      </w:r>
      <w:r w:rsidR="00DC0289">
        <w:rPr>
          <w:rFonts w:cstheme="minorHAnsi"/>
        </w:rPr>
        <w:t xml:space="preserve">to </w:t>
      </w:r>
      <w:r w:rsidR="0025691F">
        <w:rPr>
          <w:rFonts w:cstheme="minorHAnsi"/>
        </w:rPr>
        <w:t xml:space="preserve">a $100 Amazon </w:t>
      </w:r>
      <w:proofErr w:type="spellStart"/>
      <w:r w:rsidR="004B59D0">
        <w:rPr>
          <w:rFonts w:cstheme="minorHAnsi"/>
        </w:rPr>
        <w:t>e</w:t>
      </w:r>
      <w:r w:rsidR="0025691F">
        <w:rPr>
          <w:rFonts w:cstheme="minorHAnsi"/>
        </w:rPr>
        <w:t>giftcard</w:t>
      </w:r>
      <w:proofErr w:type="spellEnd"/>
      <w:r w:rsidR="0025691F">
        <w:rPr>
          <w:rFonts w:cstheme="minorHAnsi"/>
        </w:rPr>
        <w:t xml:space="preserve"> </w:t>
      </w:r>
      <w:r w:rsidR="00544BD7">
        <w:rPr>
          <w:rFonts w:cstheme="minorHAnsi"/>
        </w:rPr>
        <w:t xml:space="preserve">for completing the pre-QOL survey and a $100 for completing the post-QOL survey.  </w:t>
      </w:r>
      <w:r w:rsidR="0025691F">
        <w:rPr>
          <w:rFonts w:cstheme="minorHAnsi"/>
        </w:rPr>
        <w:t xml:space="preserve">This was offered to </w:t>
      </w:r>
      <w:r w:rsidR="00DC0289">
        <w:rPr>
          <w:rFonts w:cstheme="minorHAnsi"/>
        </w:rPr>
        <w:t xml:space="preserve">encourage </w:t>
      </w:r>
      <w:r w:rsidR="007D1DE9">
        <w:rPr>
          <w:rFonts w:cstheme="minorHAnsi"/>
        </w:rPr>
        <w:t xml:space="preserve">physician </w:t>
      </w:r>
      <w:r w:rsidR="00BC69EC">
        <w:rPr>
          <w:rFonts w:cstheme="minorHAnsi"/>
        </w:rPr>
        <w:t>learners</w:t>
      </w:r>
      <w:r w:rsidR="007D1DE9">
        <w:rPr>
          <w:rFonts w:cstheme="minorHAnsi"/>
        </w:rPr>
        <w:t xml:space="preserve"> </w:t>
      </w:r>
      <w:r w:rsidR="00DC0289">
        <w:rPr>
          <w:rFonts w:cstheme="minorHAnsi"/>
        </w:rPr>
        <w:t xml:space="preserve">to reach out to their patients </w:t>
      </w:r>
      <w:r w:rsidR="006026E0">
        <w:rPr>
          <w:rFonts w:cstheme="minorHAnsi"/>
        </w:rPr>
        <w:t xml:space="preserve">with a robust incentive </w:t>
      </w:r>
      <w:r w:rsidR="00DC0289">
        <w:rPr>
          <w:rFonts w:cstheme="minorHAnsi"/>
        </w:rPr>
        <w:t>to complete the patient QOL surveys.</w:t>
      </w:r>
    </w:p>
    <w:bookmarkEnd w:id="10"/>
    <w:p w14:paraId="01B88D95" w14:textId="5BCB0D5A" w:rsidR="00AC45D7" w:rsidRPr="000800F2" w:rsidRDefault="001320D3" w:rsidP="00AC45D7">
      <w:pPr>
        <w:autoSpaceDE w:val="0"/>
        <w:autoSpaceDN w:val="0"/>
        <w:adjustRightInd w:val="0"/>
        <w:spacing w:after="0" w:line="240" w:lineRule="auto"/>
        <w:rPr>
          <w:rFonts w:cstheme="minorHAnsi"/>
        </w:rPr>
      </w:pPr>
      <w:r>
        <w:rPr>
          <w:rFonts w:cstheme="minorHAnsi"/>
          <w:b/>
        </w:rPr>
        <w:br/>
      </w:r>
      <w:r w:rsidR="00D27247" w:rsidRPr="000800F2">
        <w:rPr>
          <w:rFonts w:cstheme="minorHAnsi"/>
          <w:b/>
        </w:rPr>
        <w:t>Specific Aims</w:t>
      </w:r>
      <w:r w:rsidR="00AC45D7" w:rsidRPr="000800F2">
        <w:rPr>
          <w:rFonts w:cstheme="minorHAnsi"/>
          <w:b/>
        </w:rPr>
        <w:br/>
      </w:r>
      <w:bookmarkStart w:id="12" w:name="_Hlk8022518"/>
      <w:r w:rsidR="00AC45D7" w:rsidRPr="000800F2">
        <w:rPr>
          <w:rFonts w:cstheme="minorHAnsi"/>
        </w:rPr>
        <w:t xml:space="preserve">The key objectives of this project </w:t>
      </w:r>
      <w:r w:rsidR="00A20155">
        <w:rPr>
          <w:rFonts w:cstheme="minorHAnsi"/>
        </w:rPr>
        <w:t>were</w:t>
      </w:r>
      <w:r w:rsidR="00AC45D7" w:rsidRPr="000800F2">
        <w:rPr>
          <w:rFonts w:cstheme="minorHAnsi"/>
        </w:rPr>
        <w:t xml:space="preserve"> to: </w:t>
      </w:r>
      <w:bookmarkStart w:id="13" w:name="_Hlk7790457"/>
      <w:r w:rsidR="00AC45D7" w:rsidRPr="000800F2">
        <w:rPr>
          <w:rFonts w:cstheme="minorHAnsi"/>
        </w:rPr>
        <w:t>1) increase knowledge, competence, and confidence in</w:t>
      </w:r>
    </w:p>
    <w:p w14:paraId="201C330B" w14:textId="77777777" w:rsidR="00AC45D7" w:rsidRPr="000800F2" w:rsidRDefault="00AC45D7" w:rsidP="00AC45D7">
      <w:pPr>
        <w:autoSpaceDE w:val="0"/>
        <w:autoSpaceDN w:val="0"/>
        <w:adjustRightInd w:val="0"/>
        <w:spacing w:after="0" w:line="240" w:lineRule="auto"/>
        <w:rPr>
          <w:rFonts w:cstheme="minorHAnsi"/>
        </w:rPr>
      </w:pPr>
      <w:r w:rsidRPr="000800F2">
        <w:rPr>
          <w:rFonts w:cstheme="minorHAnsi"/>
        </w:rPr>
        <w:t xml:space="preserve">using assessment tools for psoriasis, PsA, and QOL; </w:t>
      </w:r>
      <w:bookmarkEnd w:id="13"/>
      <w:r w:rsidRPr="000800F2">
        <w:rPr>
          <w:rFonts w:cstheme="minorHAnsi"/>
        </w:rPr>
        <w:t xml:space="preserve">2) </w:t>
      </w:r>
      <w:bookmarkStart w:id="14" w:name="_Hlk7505435"/>
      <w:r w:rsidRPr="000800F2">
        <w:rPr>
          <w:rFonts w:cstheme="minorHAnsi"/>
        </w:rPr>
        <w:t>increase the clinical use of tools for</w:t>
      </w:r>
    </w:p>
    <w:p w14:paraId="74DF0363" w14:textId="77777777" w:rsidR="00AC45D7" w:rsidRPr="000800F2" w:rsidRDefault="00AC45D7" w:rsidP="00AC45D7">
      <w:pPr>
        <w:autoSpaceDE w:val="0"/>
        <w:autoSpaceDN w:val="0"/>
        <w:adjustRightInd w:val="0"/>
        <w:spacing w:after="0" w:line="240" w:lineRule="auto"/>
        <w:rPr>
          <w:rFonts w:cstheme="minorHAnsi"/>
        </w:rPr>
      </w:pPr>
      <w:r w:rsidRPr="000800F2">
        <w:rPr>
          <w:rFonts w:cstheme="minorHAnsi"/>
        </w:rPr>
        <w:t>assessing psoriasis, PsA, and QOL in patients with psoriasis; and 3) increase QOL and treatment</w:t>
      </w:r>
    </w:p>
    <w:p w14:paraId="720DDC74" w14:textId="77777777" w:rsidR="00475E50" w:rsidRPr="00810E05" w:rsidRDefault="00AC45D7" w:rsidP="00475E50">
      <w:pPr>
        <w:autoSpaceDE w:val="0"/>
        <w:autoSpaceDN w:val="0"/>
        <w:adjustRightInd w:val="0"/>
        <w:spacing w:after="0" w:line="240" w:lineRule="auto"/>
        <w:rPr>
          <w:rFonts w:cstheme="minorHAnsi"/>
        </w:rPr>
      </w:pPr>
      <w:r w:rsidRPr="000800F2">
        <w:rPr>
          <w:rFonts w:cstheme="minorHAnsi"/>
        </w:rPr>
        <w:t>satisfaction as reported by patients with psoriasis and PsA.</w:t>
      </w:r>
      <w:r w:rsidR="00D27247" w:rsidRPr="000800F2">
        <w:rPr>
          <w:rFonts w:cstheme="minorHAnsi"/>
          <w:b/>
        </w:rPr>
        <w:br/>
      </w:r>
      <w:bookmarkEnd w:id="12"/>
      <w:bookmarkEnd w:id="14"/>
      <w:r w:rsidR="001320D3">
        <w:rPr>
          <w:rFonts w:cstheme="minorHAnsi"/>
          <w:b/>
        </w:rPr>
        <w:br/>
      </w:r>
      <w:r w:rsidR="00D27247" w:rsidRPr="000A4DBC">
        <w:rPr>
          <w:rFonts w:cstheme="minorHAnsi"/>
          <w:b/>
        </w:rPr>
        <w:t>Context</w:t>
      </w:r>
      <w:r w:rsidR="00A20155" w:rsidRPr="000A4DBC">
        <w:rPr>
          <w:rFonts w:cstheme="minorHAnsi"/>
          <w:b/>
        </w:rPr>
        <w:br/>
        <w:t>Contextual elements considered important at the outset of introducing the </w:t>
      </w:r>
      <w:hyperlink r:id="rId17" w:anchor="Interventions" w:history="1">
        <w:r w:rsidR="00A20155" w:rsidRPr="000A4DBC">
          <w:rPr>
            <w:rStyle w:val="Hyperlink"/>
            <w:rFonts w:cstheme="minorHAnsi"/>
            <w:b/>
          </w:rPr>
          <w:t>intervention(s)</w:t>
        </w:r>
      </w:hyperlink>
      <w:r w:rsidR="0015770C" w:rsidRPr="000A4DBC">
        <w:rPr>
          <w:rFonts w:cstheme="minorHAnsi"/>
          <w:b/>
        </w:rPr>
        <w:br/>
      </w:r>
    </w:p>
    <w:p w14:paraId="701732E5" w14:textId="23AD2CCE" w:rsidR="00475E50" w:rsidRPr="0067366F" w:rsidRDefault="00475E50" w:rsidP="00475E50">
      <w:pPr>
        <w:autoSpaceDE w:val="0"/>
        <w:autoSpaceDN w:val="0"/>
        <w:adjustRightInd w:val="0"/>
        <w:spacing w:after="0" w:line="240" w:lineRule="auto"/>
      </w:pPr>
      <w:r>
        <w:rPr>
          <w:rFonts w:cstheme="minorHAnsi"/>
        </w:rPr>
        <w:t>The</w:t>
      </w:r>
      <w:r w:rsidRPr="0F75BF01">
        <w:t xml:space="preserve"> goal </w:t>
      </w:r>
      <w:r>
        <w:t xml:space="preserve">of this project </w:t>
      </w:r>
      <w:r w:rsidRPr="0F75BF01">
        <w:t>also directly aligned with our partner, the National Psoriasis Foundation</w:t>
      </w:r>
      <w:r>
        <w:t>’s organizational goal</w:t>
      </w:r>
      <w:r w:rsidRPr="0F75BF01">
        <w:t xml:space="preserve">, which was to reduce the percentage of individuals who report their disease to be a problem in their everyday life. </w:t>
      </w:r>
    </w:p>
    <w:p w14:paraId="4E3D1DDD" w14:textId="7C3FB32B" w:rsidR="0015770C" w:rsidRPr="008521DA" w:rsidRDefault="0094223E" w:rsidP="0094223E">
      <w:pPr>
        <w:autoSpaceDE w:val="0"/>
        <w:autoSpaceDN w:val="0"/>
        <w:adjustRightInd w:val="0"/>
        <w:spacing w:after="0" w:line="240" w:lineRule="auto"/>
        <w:rPr>
          <w:rFonts w:cstheme="minorHAnsi"/>
        </w:rPr>
      </w:pPr>
      <w:r>
        <w:lastRenderedPageBreak/>
        <w:t xml:space="preserve">To assist with the actual implementation of the grant, an additional partner, The France Foundation (TFF), was enlisted. </w:t>
      </w:r>
      <w:r w:rsidRPr="0094223E">
        <w:t>The AAD and TFF have collaborated</w:t>
      </w:r>
      <w:r>
        <w:t xml:space="preserve"> in the past</w:t>
      </w:r>
      <w:r w:rsidRPr="0094223E">
        <w:t xml:space="preserve"> to launch and manage PI CME </w:t>
      </w:r>
      <w:r>
        <w:t>P</w:t>
      </w:r>
      <w:r w:rsidRPr="0094223E">
        <w:t>art</w:t>
      </w:r>
      <w:r>
        <w:t xml:space="preserve"> </w:t>
      </w:r>
      <w:r w:rsidRPr="0094223E">
        <w:t>IV activities which include</w:t>
      </w:r>
      <w:r>
        <w:t>d</w:t>
      </w:r>
      <w:r w:rsidRPr="0094223E">
        <w:t xml:space="preserve"> physician chart audit tools. TFF has been involved in multiple collaborative initiatives in traditional, quality improvement,</w:t>
      </w:r>
      <w:r>
        <w:t xml:space="preserve"> </w:t>
      </w:r>
      <w:r w:rsidRPr="0094223E">
        <w:t>and performance improvement projects. TFF’s medical and scientific experts and</w:t>
      </w:r>
      <w:r>
        <w:t xml:space="preserve"> </w:t>
      </w:r>
      <w:r w:rsidRPr="0094223E">
        <w:t>experienced project management team support</w:t>
      </w:r>
      <w:r>
        <w:t>ed</w:t>
      </w:r>
      <w:r w:rsidRPr="0094223E">
        <w:t xml:space="preserve"> the AAD in the implementation,</w:t>
      </w:r>
      <w:r>
        <w:t xml:space="preserve"> </w:t>
      </w:r>
      <w:r w:rsidRPr="0094223E">
        <w:t>execution and management of this project.</w:t>
      </w:r>
      <w:r>
        <w:t xml:space="preserve"> </w:t>
      </w:r>
      <w:r>
        <w:br/>
      </w:r>
      <w:r>
        <w:br/>
        <w:t>A</w:t>
      </w:r>
      <w:r w:rsidR="0015770C">
        <w:rPr>
          <w:rFonts w:cstheme="minorHAnsi"/>
        </w:rPr>
        <w:t>s d</w:t>
      </w:r>
      <w:r w:rsidR="0015770C" w:rsidRPr="008521DA">
        <w:rPr>
          <w:rFonts w:cstheme="minorHAnsi"/>
        </w:rPr>
        <w:t>ermatologists play an important role in screening, identifying, and managing patients with</w:t>
      </w:r>
    </w:p>
    <w:p w14:paraId="4A545913" w14:textId="77777777" w:rsidR="0094223E" w:rsidRDefault="0015770C" w:rsidP="000A4DBC">
      <w:pPr>
        <w:kinsoku w:val="0"/>
        <w:overflowPunct w:val="0"/>
        <w:autoSpaceDE w:val="0"/>
        <w:autoSpaceDN w:val="0"/>
        <w:adjustRightInd w:val="0"/>
        <w:spacing w:before="12" w:after="0" w:line="240" w:lineRule="auto"/>
        <w:rPr>
          <w:rFonts w:cstheme="minorHAnsi"/>
        </w:rPr>
      </w:pPr>
      <w:r w:rsidRPr="008521DA">
        <w:rPr>
          <w:rFonts w:cstheme="minorHAnsi"/>
        </w:rPr>
        <w:t>psoriasis and PsA</w:t>
      </w:r>
      <w:r>
        <w:rPr>
          <w:rFonts w:cstheme="minorHAnsi"/>
        </w:rPr>
        <w:t xml:space="preserve">, </w:t>
      </w:r>
      <w:r w:rsidRPr="008521DA">
        <w:rPr>
          <w:rFonts w:cstheme="minorHAnsi"/>
        </w:rPr>
        <w:t>th</w:t>
      </w:r>
      <w:r>
        <w:rPr>
          <w:rFonts w:cstheme="minorHAnsi"/>
        </w:rPr>
        <w:t xml:space="preserve">is </w:t>
      </w:r>
      <w:r w:rsidRPr="008521DA">
        <w:rPr>
          <w:rFonts w:cstheme="minorHAnsi"/>
        </w:rPr>
        <w:t xml:space="preserve">target audience </w:t>
      </w:r>
      <w:r w:rsidR="0025691F">
        <w:rPr>
          <w:rFonts w:cstheme="minorHAnsi"/>
        </w:rPr>
        <w:t>was</w:t>
      </w:r>
      <w:r w:rsidRPr="008521DA">
        <w:rPr>
          <w:rFonts w:cstheme="minorHAnsi"/>
        </w:rPr>
        <w:t xml:space="preserve"> in a prime</w:t>
      </w:r>
      <w:r>
        <w:rPr>
          <w:rFonts w:cstheme="minorHAnsi"/>
        </w:rPr>
        <w:t xml:space="preserve"> </w:t>
      </w:r>
      <w:r w:rsidRPr="008521DA">
        <w:rPr>
          <w:rFonts w:cstheme="minorHAnsi"/>
        </w:rPr>
        <w:t>position to improve the QOL and treatment satisfaction of patients with psoriasis and PsA by</w:t>
      </w:r>
      <w:r>
        <w:rPr>
          <w:rFonts w:cstheme="minorHAnsi"/>
        </w:rPr>
        <w:t xml:space="preserve"> </w:t>
      </w:r>
      <w:r w:rsidRPr="008521DA">
        <w:rPr>
          <w:rFonts w:cstheme="minorHAnsi"/>
        </w:rPr>
        <w:t>increasing the use of scales and tools for assessing psoriasis, PsA, and QOL in their own practice</w:t>
      </w:r>
      <w:r w:rsidR="0025691F">
        <w:rPr>
          <w:rFonts w:cstheme="minorHAnsi"/>
        </w:rPr>
        <w:t>s</w:t>
      </w:r>
      <w:r w:rsidR="0094223E">
        <w:rPr>
          <w:rFonts w:cstheme="minorHAnsi"/>
        </w:rPr>
        <w:t xml:space="preserve">. </w:t>
      </w:r>
      <w:r w:rsidRPr="008521DA">
        <w:rPr>
          <w:rFonts w:cstheme="minorHAnsi"/>
        </w:rPr>
        <w:t>As a result,</w:t>
      </w:r>
      <w:r>
        <w:rPr>
          <w:rFonts w:cstheme="minorHAnsi"/>
        </w:rPr>
        <w:t xml:space="preserve"> it was </w:t>
      </w:r>
      <w:r w:rsidRPr="008521DA">
        <w:rPr>
          <w:rFonts w:cstheme="minorHAnsi"/>
        </w:rPr>
        <w:t>predict</w:t>
      </w:r>
      <w:r>
        <w:rPr>
          <w:rFonts w:cstheme="minorHAnsi"/>
        </w:rPr>
        <w:t xml:space="preserve">ed </w:t>
      </w:r>
      <w:r w:rsidRPr="008521DA">
        <w:rPr>
          <w:rFonts w:cstheme="minorHAnsi"/>
        </w:rPr>
        <w:t xml:space="preserve">this project </w:t>
      </w:r>
      <w:r>
        <w:rPr>
          <w:rFonts w:cstheme="minorHAnsi"/>
        </w:rPr>
        <w:t>would</w:t>
      </w:r>
      <w:r w:rsidRPr="008521DA">
        <w:rPr>
          <w:rFonts w:cstheme="minorHAnsi"/>
        </w:rPr>
        <w:t xml:space="preserve"> have a widespread, positive impact on care and outcomes for patients affected</w:t>
      </w:r>
      <w:r>
        <w:rPr>
          <w:rFonts w:cstheme="minorHAnsi"/>
        </w:rPr>
        <w:t xml:space="preserve"> </w:t>
      </w:r>
      <w:r w:rsidRPr="008521DA">
        <w:rPr>
          <w:rFonts w:cstheme="minorHAnsi"/>
        </w:rPr>
        <w:t xml:space="preserve">by psoriasis and PsA. </w:t>
      </w:r>
    </w:p>
    <w:p w14:paraId="4730B91E" w14:textId="18673476" w:rsidR="001E4488" w:rsidRDefault="00D27247" w:rsidP="000A4DBC">
      <w:pPr>
        <w:kinsoku w:val="0"/>
        <w:overflowPunct w:val="0"/>
        <w:autoSpaceDE w:val="0"/>
        <w:autoSpaceDN w:val="0"/>
        <w:adjustRightInd w:val="0"/>
        <w:spacing w:before="12" w:after="0" w:line="240" w:lineRule="auto"/>
        <w:rPr>
          <w:rFonts w:cstheme="minorHAnsi"/>
          <w:b/>
        </w:rPr>
      </w:pPr>
      <w:r w:rsidRPr="00A20155">
        <w:rPr>
          <w:rFonts w:cstheme="minorHAnsi"/>
        </w:rPr>
        <w:br/>
      </w:r>
      <w:r w:rsidRPr="000800F2">
        <w:rPr>
          <w:rFonts w:cstheme="minorHAnsi"/>
          <w:b/>
        </w:rPr>
        <w:t>Intervention</w:t>
      </w:r>
    </w:p>
    <w:p w14:paraId="52A6F06C" w14:textId="77777777" w:rsidR="001E4488" w:rsidRPr="000A4DBC" w:rsidRDefault="001E4488" w:rsidP="001E4488">
      <w:pPr>
        <w:autoSpaceDE w:val="0"/>
        <w:autoSpaceDN w:val="0"/>
        <w:adjustRightInd w:val="0"/>
        <w:spacing w:after="0" w:line="240" w:lineRule="auto"/>
        <w:rPr>
          <w:rFonts w:cstheme="minorHAnsi"/>
          <w:b/>
        </w:rPr>
      </w:pPr>
      <w:r w:rsidRPr="000A4DBC">
        <w:rPr>
          <w:rFonts w:cstheme="minorHAnsi"/>
          <w:b/>
        </w:rPr>
        <w:t>a.  Description of the </w:t>
      </w:r>
      <w:hyperlink r:id="rId18" w:anchor="Interventions" w:history="1">
        <w:r w:rsidRPr="000A4DBC">
          <w:rPr>
            <w:rStyle w:val="Hyperlink"/>
            <w:rFonts w:cstheme="minorHAnsi"/>
            <w:b/>
          </w:rPr>
          <w:t>intervention(s)</w:t>
        </w:r>
      </w:hyperlink>
      <w:r w:rsidRPr="000A4DBC">
        <w:rPr>
          <w:rFonts w:cstheme="minorHAnsi"/>
          <w:b/>
        </w:rPr>
        <w:t> in sufficient detail that others could reproduce it</w:t>
      </w:r>
    </w:p>
    <w:p w14:paraId="42EAABAF" w14:textId="74470E71" w:rsidR="000800F2" w:rsidRPr="000800F2" w:rsidRDefault="001E4488" w:rsidP="000800F2">
      <w:pPr>
        <w:autoSpaceDE w:val="0"/>
        <w:autoSpaceDN w:val="0"/>
        <w:adjustRightInd w:val="0"/>
        <w:spacing w:after="0" w:line="240" w:lineRule="auto"/>
        <w:rPr>
          <w:rFonts w:cstheme="minorHAnsi"/>
        </w:rPr>
      </w:pPr>
      <w:r w:rsidRPr="000A4DBC">
        <w:rPr>
          <w:rFonts w:cstheme="minorHAnsi"/>
          <w:b/>
        </w:rPr>
        <w:t>b.  Specifics of the team involved in the work</w:t>
      </w:r>
      <w:r w:rsidR="00CC481C" w:rsidRPr="000A4DBC">
        <w:rPr>
          <w:rFonts w:cstheme="minorHAnsi"/>
          <w:b/>
        </w:rPr>
        <w:br/>
      </w:r>
      <w:r w:rsidR="000800F2" w:rsidRPr="000800F2">
        <w:rPr>
          <w:rFonts w:cstheme="minorHAnsi"/>
        </w:rPr>
        <w:t>This project provide</w:t>
      </w:r>
      <w:r w:rsidR="004F1C26">
        <w:rPr>
          <w:rFonts w:cstheme="minorHAnsi"/>
        </w:rPr>
        <w:t>d</w:t>
      </w:r>
      <w:r w:rsidR="000800F2" w:rsidRPr="000800F2">
        <w:rPr>
          <w:rFonts w:cstheme="minorHAnsi"/>
        </w:rPr>
        <w:t xml:space="preserve"> a blended learning</w:t>
      </w:r>
      <w:r w:rsidR="004F1C26">
        <w:rPr>
          <w:rFonts w:cstheme="minorHAnsi"/>
        </w:rPr>
        <w:t xml:space="preserve"> </w:t>
      </w:r>
      <w:r w:rsidR="000800F2" w:rsidRPr="000800F2">
        <w:rPr>
          <w:rFonts w:cstheme="minorHAnsi"/>
        </w:rPr>
        <w:t>experience, which has been shown to be effective for continuing medical education in other</w:t>
      </w:r>
      <w:r w:rsidR="004F1C26">
        <w:rPr>
          <w:rFonts w:cstheme="minorHAnsi"/>
        </w:rPr>
        <w:t xml:space="preserve"> </w:t>
      </w:r>
      <w:r w:rsidR="000800F2" w:rsidRPr="000800F2">
        <w:rPr>
          <w:rFonts w:cstheme="minorHAnsi"/>
        </w:rPr>
        <w:t>specialties.</w:t>
      </w:r>
      <w:r w:rsidR="000800F2" w:rsidRPr="004F1C26">
        <w:rPr>
          <w:rFonts w:cstheme="minorHAnsi"/>
          <w:sz w:val="16"/>
          <w:szCs w:val="16"/>
        </w:rPr>
        <w:t>10-13</w:t>
      </w:r>
      <w:r w:rsidR="000800F2" w:rsidRPr="000800F2">
        <w:rPr>
          <w:rFonts w:cstheme="minorHAnsi"/>
        </w:rPr>
        <w:t xml:space="preserve"> The blended learning design include</w:t>
      </w:r>
      <w:r w:rsidR="004F1C26">
        <w:rPr>
          <w:rFonts w:cstheme="minorHAnsi"/>
        </w:rPr>
        <w:t>d</w:t>
      </w:r>
      <w:r w:rsidR="000800F2" w:rsidRPr="000800F2">
        <w:rPr>
          <w:rFonts w:cstheme="minorHAnsi"/>
        </w:rPr>
        <w:t xml:space="preserve"> live workshops</w:t>
      </w:r>
      <w:r w:rsidR="00900BC6">
        <w:rPr>
          <w:rFonts w:cstheme="minorHAnsi"/>
        </w:rPr>
        <w:t xml:space="preserve"> and two</w:t>
      </w:r>
      <w:r w:rsidR="000800F2" w:rsidRPr="000800F2">
        <w:rPr>
          <w:rFonts w:cstheme="minorHAnsi"/>
        </w:rPr>
        <w:t xml:space="preserve"> </w:t>
      </w:r>
      <w:r w:rsidR="004F1C26">
        <w:rPr>
          <w:rFonts w:cstheme="minorHAnsi"/>
        </w:rPr>
        <w:t xml:space="preserve">post workshop implementation </w:t>
      </w:r>
      <w:r w:rsidR="00900BC6">
        <w:rPr>
          <w:rFonts w:cstheme="minorHAnsi"/>
        </w:rPr>
        <w:t xml:space="preserve">activities that included </w:t>
      </w:r>
      <w:r w:rsidR="000800F2" w:rsidRPr="000800F2">
        <w:rPr>
          <w:rFonts w:cstheme="minorHAnsi"/>
        </w:rPr>
        <w:t xml:space="preserve">online chart audits, </w:t>
      </w:r>
      <w:r w:rsidR="004F1C26">
        <w:rPr>
          <w:rFonts w:cstheme="minorHAnsi"/>
        </w:rPr>
        <w:t xml:space="preserve">patient recruitment </w:t>
      </w:r>
      <w:r w:rsidR="000800F2" w:rsidRPr="000800F2">
        <w:rPr>
          <w:rFonts w:cstheme="minorHAnsi"/>
        </w:rPr>
        <w:t xml:space="preserve">and </w:t>
      </w:r>
      <w:r w:rsidR="00F13C4E">
        <w:rPr>
          <w:rFonts w:cstheme="minorHAnsi"/>
        </w:rPr>
        <w:t xml:space="preserve">patient </w:t>
      </w:r>
      <w:r w:rsidR="00900BC6">
        <w:rPr>
          <w:rFonts w:cstheme="minorHAnsi"/>
        </w:rPr>
        <w:t>participation in completing  pre</w:t>
      </w:r>
      <w:r w:rsidR="004B6531">
        <w:rPr>
          <w:rFonts w:cstheme="minorHAnsi"/>
        </w:rPr>
        <w:t>/</w:t>
      </w:r>
      <w:r w:rsidR="00900BC6">
        <w:rPr>
          <w:rFonts w:cstheme="minorHAnsi"/>
        </w:rPr>
        <w:t xml:space="preserve">post </w:t>
      </w:r>
      <w:r w:rsidR="000800F2" w:rsidRPr="000800F2">
        <w:rPr>
          <w:rFonts w:cstheme="minorHAnsi"/>
        </w:rPr>
        <w:t xml:space="preserve">online </w:t>
      </w:r>
      <w:r w:rsidR="00900BC6">
        <w:rPr>
          <w:rFonts w:cstheme="minorHAnsi"/>
        </w:rPr>
        <w:t xml:space="preserve">QOL </w:t>
      </w:r>
      <w:r w:rsidR="000800F2" w:rsidRPr="000800F2">
        <w:rPr>
          <w:rFonts w:cstheme="minorHAnsi"/>
        </w:rPr>
        <w:t>questionnaires.</w:t>
      </w:r>
      <w:r w:rsidR="00F13C4E">
        <w:rPr>
          <w:rFonts w:cstheme="minorHAnsi"/>
        </w:rPr>
        <w:t xml:space="preserve"> </w:t>
      </w:r>
      <w:r w:rsidR="00900BC6">
        <w:rPr>
          <w:rFonts w:cstheme="minorHAnsi"/>
        </w:rPr>
        <w:t xml:space="preserve">After the </w:t>
      </w:r>
      <w:r w:rsidR="00B02C55">
        <w:rPr>
          <w:rFonts w:cstheme="minorHAnsi"/>
        </w:rPr>
        <w:t xml:space="preserve">initial </w:t>
      </w:r>
      <w:r w:rsidR="00900BC6">
        <w:rPr>
          <w:rFonts w:cstheme="minorHAnsi"/>
        </w:rPr>
        <w:t xml:space="preserve">blended learning experience was over, the online activity was launched to make the blended learning experience </w:t>
      </w:r>
      <w:r w:rsidR="00740596">
        <w:rPr>
          <w:rFonts w:cstheme="minorHAnsi"/>
        </w:rPr>
        <w:t>available</w:t>
      </w:r>
      <w:r w:rsidR="00900BC6">
        <w:rPr>
          <w:rFonts w:cstheme="minorHAnsi"/>
        </w:rPr>
        <w:t xml:space="preserve"> online to those who could not attend the initial blended learning experience</w:t>
      </w:r>
      <w:r w:rsidR="00B02C55">
        <w:rPr>
          <w:rFonts w:cstheme="minorHAnsi"/>
        </w:rPr>
        <w:t>.</w:t>
      </w:r>
    </w:p>
    <w:p w14:paraId="3FC93A95" w14:textId="77777777" w:rsidR="000800F2" w:rsidRPr="000800F2" w:rsidRDefault="000800F2" w:rsidP="000800F2">
      <w:pPr>
        <w:autoSpaceDE w:val="0"/>
        <w:autoSpaceDN w:val="0"/>
        <w:adjustRightInd w:val="0"/>
        <w:spacing w:after="0" w:line="240" w:lineRule="auto"/>
        <w:rPr>
          <w:rFonts w:cstheme="minorHAnsi"/>
          <w:i/>
          <w:iCs/>
        </w:rPr>
      </w:pPr>
      <w:r w:rsidRPr="000800F2">
        <w:rPr>
          <w:rFonts w:cstheme="minorHAnsi"/>
          <w:i/>
          <w:iCs/>
        </w:rPr>
        <w:t>Workshops</w:t>
      </w:r>
    </w:p>
    <w:p w14:paraId="7C28D756" w14:textId="3CDBE8F1" w:rsidR="000800F2" w:rsidRPr="000800F2" w:rsidRDefault="00316896" w:rsidP="00EA4757">
      <w:pPr>
        <w:spacing w:after="0" w:line="240" w:lineRule="auto"/>
        <w:rPr>
          <w:rFonts w:cstheme="minorHAnsi"/>
        </w:rPr>
      </w:pPr>
      <w:r w:rsidRPr="000800F2">
        <w:rPr>
          <w:rFonts w:cstheme="minorHAnsi"/>
        </w:rPr>
        <w:t>The workshop</w:t>
      </w:r>
      <w:r w:rsidR="00655910">
        <w:t xml:space="preserve">, </w:t>
      </w:r>
      <w:r w:rsidR="00655910" w:rsidRPr="00EB5B4F">
        <w:t xml:space="preserve">entitled </w:t>
      </w:r>
      <w:r w:rsidR="00655910" w:rsidRPr="00EB5B4F">
        <w:rPr>
          <w:i/>
        </w:rPr>
        <w:t>Practical Approaches to Assessing Psoriasis and Psoriatic Arthritis</w:t>
      </w:r>
      <w:r w:rsidR="00655910">
        <w:rPr>
          <w:i/>
        </w:rPr>
        <w:t xml:space="preserve">, </w:t>
      </w:r>
      <w:r>
        <w:rPr>
          <w:rFonts w:cstheme="minorHAnsi"/>
        </w:rPr>
        <w:t>was</w:t>
      </w:r>
      <w:r w:rsidRPr="000800F2">
        <w:rPr>
          <w:rFonts w:cstheme="minorHAnsi"/>
        </w:rPr>
        <w:t xml:space="preserve"> created with input from expert psoriasis</w:t>
      </w:r>
      <w:r>
        <w:rPr>
          <w:rFonts w:cstheme="minorHAnsi"/>
        </w:rPr>
        <w:t xml:space="preserve"> </w:t>
      </w:r>
      <w:r w:rsidRPr="000800F2">
        <w:rPr>
          <w:rFonts w:cstheme="minorHAnsi"/>
        </w:rPr>
        <w:t xml:space="preserve">and PsA faculty to ensure </w:t>
      </w:r>
      <w:r>
        <w:rPr>
          <w:rFonts w:cstheme="minorHAnsi"/>
        </w:rPr>
        <w:t>effectiveness in</w:t>
      </w:r>
      <w:r w:rsidRPr="000800F2">
        <w:rPr>
          <w:rFonts w:cstheme="minorHAnsi"/>
        </w:rPr>
        <w:t xml:space="preserve"> improving participants’ knowledge,</w:t>
      </w:r>
      <w:r>
        <w:rPr>
          <w:rFonts w:cstheme="minorHAnsi"/>
        </w:rPr>
        <w:t xml:space="preserve"> </w:t>
      </w:r>
      <w:r w:rsidRPr="000800F2">
        <w:rPr>
          <w:rFonts w:cstheme="minorHAnsi"/>
        </w:rPr>
        <w:t>competence, and confidence in assessing psoriasis, PsA, and QOL using assessment scales and</w:t>
      </w:r>
      <w:r>
        <w:rPr>
          <w:rFonts w:cstheme="minorHAnsi"/>
        </w:rPr>
        <w:t xml:space="preserve"> </w:t>
      </w:r>
      <w:r w:rsidRPr="000800F2">
        <w:rPr>
          <w:rFonts w:cstheme="minorHAnsi"/>
        </w:rPr>
        <w:t>tools.</w:t>
      </w:r>
      <w:r w:rsidRPr="00316896">
        <w:rPr>
          <w:rFonts w:cstheme="minorHAnsi"/>
        </w:rPr>
        <w:t xml:space="preserve"> </w:t>
      </w:r>
      <w:r w:rsidR="004B6531">
        <w:rPr>
          <w:rFonts w:cstheme="minorHAnsi"/>
        </w:rPr>
        <w:t>Three</w:t>
      </w:r>
      <w:r w:rsidR="004B6531" w:rsidRPr="000800F2">
        <w:rPr>
          <w:rFonts w:cstheme="minorHAnsi"/>
        </w:rPr>
        <w:t xml:space="preserve"> </w:t>
      </w:r>
      <w:r>
        <w:rPr>
          <w:rFonts w:cstheme="minorHAnsi"/>
        </w:rPr>
        <w:t xml:space="preserve">live </w:t>
      </w:r>
      <w:r w:rsidRPr="000800F2">
        <w:rPr>
          <w:rFonts w:cstheme="minorHAnsi"/>
        </w:rPr>
        <w:t>workshops, each following the same</w:t>
      </w:r>
      <w:r>
        <w:rPr>
          <w:rFonts w:cstheme="minorHAnsi"/>
        </w:rPr>
        <w:t xml:space="preserve"> </w:t>
      </w:r>
      <w:r w:rsidR="004B6531">
        <w:rPr>
          <w:rFonts w:cstheme="minorHAnsi"/>
        </w:rPr>
        <w:t>format</w:t>
      </w:r>
      <w:r>
        <w:rPr>
          <w:rFonts w:cstheme="minorHAnsi"/>
        </w:rPr>
        <w:t xml:space="preserve">, were offered over </w:t>
      </w:r>
      <w:r w:rsidR="004B6531">
        <w:rPr>
          <w:rFonts w:cstheme="minorHAnsi"/>
        </w:rPr>
        <w:t xml:space="preserve">a </w:t>
      </w:r>
      <w:r w:rsidR="00740596">
        <w:rPr>
          <w:rFonts w:cstheme="minorHAnsi"/>
        </w:rPr>
        <w:t>2-year</w:t>
      </w:r>
      <w:r>
        <w:rPr>
          <w:rFonts w:cstheme="minorHAnsi"/>
        </w:rPr>
        <w:t xml:space="preserve"> period</w:t>
      </w:r>
      <w:r w:rsidRPr="000800F2">
        <w:rPr>
          <w:rFonts w:cstheme="minorHAnsi"/>
        </w:rPr>
        <w:t>.</w:t>
      </w:r>
      <w:r>
        <w:rPr>
          <w:rFonts w:cstheme="minorHAnsi"/>
        </w:rPr>
        <w:t xml:space="preserve"> The</w:t>
      </w:r>
      <w:r w:rsidR="000800F2" w:rsidRPr="000800F2">
        <w:rPr>
          <w:rFonts w:cstheme="minorHAnsi"/>
        </w:rPr>
        <w:t xml:space="preserve"> workshop include</w:t>
      </w:r>
      <w:r w:rsidR="00B3386A">
        <w:rPr>
          <w:rFonts w:cstheme="minorHAnsi"/>
        </w:rPr>
        <w:t>d</w:t>
      </w:r>
      <w:r w:rsidR="000800F2" w:rsidRPr="000800F2">
        <w:rPr>
          <w:rFonts w:cstheme="minorHAnsi"/>
        </w:rPr>
        <w:t xml:space="preserve"> didactic presentations</w:t>
      </w:r>
      <w:r w:rsidR="004F1C26">
        <w:rPr>
          <w:rFonts w:cstheme="minorHAnsi"/>
        </w:rPr>
        <w:t>;</w:t>
      </w:r>
      <w:r w:rsidR="000800F2" w:rsidRPr="000800F2">
        <w:rPr>
          <w:rFonts w:cstheme="minorHAnsi"/>
        </w:rPr>
        <w:t xml:space="preserve"> </w:t>
      </w:r>
      <w:r>
        <w:rPr>
          <w:rFonts w:cstheme="minorHAnsi"/>
        </w:rPr>
        <w:t xml:space="preserve">live patient </w:t>
      </w:r>
      <w:r w:rsidR="000800F2" w:rsidRPr="000800F2">
        <w:rPr>
          <w:rFonts w:cstheme="minorHAnsi"/>
        </w:rPr>
        <w:t>psoriasis, PsA and</w:t>
      </w:r>
      <w:r>
        <w:rPr>
          <w:rFonts w:cstheme="minorHAnsi"/>
        </w:rPr>
        <w:t xml:space="preserve"> </w:t>
      </w:r>
      <w:r w:rsidR="000800F2" w:rsidRPr="000800F2">
        <w:rPr>
          <w:rFonts w:cstheme="minorHAnsi"/>
        </w:rPr>
        <w:t>QOL assessment demonstrations</w:t>
      </w:r>
      <w:r w:rsidR="004F1C26">
        <w:rPr>
          <w:rFonts w:cstheme="minorHAnsi"/>
        </w:rPr>
        <w:t>;</w:t>
      </w:r>
      <w:r w:rsidR="000800F2" w:rsidRPr="000800F2">
        <w:rPr>
          <w:rFonts w:cstheme="minorHAnsi"/>
        </w:rPr>
        <w:t xml:space="preserve"> patient case vignettes</w:t>
      </w:r>
      <w:r>
        <w:rPr>
          <w:rFonts w:cstheme="minorHAnsi"/>
        </w:rPr>
        <w:t xml:space="preserve"> and printed implementation resources</w:t>
      </w:r>
      <w:r w:rsidR="000800F2" w:rsidRPr="000800F2">
        <w:rPr>
          <w:rFonts w:cstheme="minorHAnsi"/>
        </w:rPr>
        <w:t xml:space="preserve">. </w:t>
      </w:r>
      <w:r>
        <w:rPr>
          <w:rFonts w:cstheme="minorHAnsi"/>
        </w:rPr>
        <w:t>For the</w:t>
      </w:r>
      <w:r w:rsidR="000800F2" w:rsidRPr="000800F2">
        <w:rPr>
          <w:rFonts w:cstheme="minorHAnsi"/>
        </w:rPr>
        <w:t xml:space="preserve"> assessment</w:t>
      </w:r>
      <w:r w:rsidR="004F1C26">
        <w:rPr>
          <w:rFonts w:cstheme="minorHAnsi"/>
        </w:rPr>
        <w:t xml:space="preserve"> </w:t>
      </w:r>
      <w:r w:rsidR="000800F2" w:rsidRPr="000800F2">
        <w:rPr>
          <w:rFonts w:cstheme="minorHAnsi"/>
        </w:rPr>
        <w:t xml:space="preserve">demonstrations, up to 5 patient volunteers </w:t>
      </w:r>
      <w:r w:rsidR="00B3386A">
        <w:rPr>
          <w:rFonts w:cstheme="minorHAnsi"/>
        </w:rPr>
        <w:t>were</w:t>
      </w:r>
      <w:r w:rsidR="000800F2" w:rsidRPr="000800F2">
        <w:rPr>
          <w:rFonts w:cstheme="minorHAnsi"/>
        </w:rPr>
        <w:t xml:space="preserve"> assessed by faculty who in part use</w:t>
      </w:r>
      <w:r w:rsidR="00B3386A">
        <w:rPr>
          <w:rFonts w:cstheme="minorHAnsi"/>
        </w:rPr>
        <w:t>d</w:t>
      </w:r>
      <w:r w:rsidR="004F1C26">
        <w:rPr>
          <w:rFonts w:cstheme="minorHAnsi"/>
        </w:rPr>
        <w:t xml:space="preserve"> </w:t>
      </w:r>
      <w:r w:rsidR="000800F2" w:rsidRPr="000800F2">
        <w:rPr>
          <w:rFonts w:cstheme="minorHAnsi"/>
        </w:rPr>
        <w:t xml:space="preserve">questions submitted by the participants via </w:t>
      </w:r>
      <w:r w:rsidR="004B6531">
        <w:rPr>
          <w:rFonts w:cstheme="minorHAnsi"/>
        </w:rPr>
        <w:t xml:space="preserve">an </w:t>
      </w:r>
      <w:r w:rsidR="0009200C">
        <w:rPr>
          <w:rFonts w:cstheme="minorHAnsi"/>
        </w:rPr>
        <w:t>Audience Response System (ARS).</w:t>
      </w:r>
      <w:r w:rsidR="00EA4757">
        <w:rPr>
          <w:rFonts w:cstheme="minorHAnsi"/>
        </w:rPr>
        <w:t xml:space="preserve">  </w:t>
      </w:r>
      <w:bookmarkStart w:id="15" w:name="_Hlk6485099"/>
      <w:r w:rsidR="000800F2" w:rsidRPr="000800F2">
        <w:rPr>
          <w:rFonts w:cstheme="minorHAnsi"/>
        </w:rPr>
        <w:t xml:space="preserve">Patient volunteers </w:t>
      </w:r>
      <w:r w:rsidR="00B3386A">
        <w:rPr>
          <w:rFonts w:cstheme="minorHAnsi"/>
        </w:rPr>
        <w:t>were</w:t>
      </w:r>
      <w:r w:rsidR="000800F2" w:rsidRPr="000800F2">
        <w:rPr>
          <w:rFonts w:cstheme="minorHAnsi"/>
        </w:rPr>
        <w:t xml:space="preserve"> recruited by expert</w:t>
      </w:r>
      <w:r w:rsidR="004F1C26">
        <w:rPr>
          <w:rFonts w:cstheme="minorHAnsi"/>
        </w:rPr>
        <w:t xml:space="preserve"> </w:t>
      </w:r>
      <w:r w:rsidR="000800F2" w:rsidRPr="000800F2">
        <w:rPr>
          <w:rFonts w:cstheme="minorHAnsi"/>
        </w:rPr>
        <w:t>psoriasis and PsA faculty</w:t>
      </w:r>
      <w:r>
        <w:rPr>
          <w:rFonts w:cstheme="minorHAnsi"/>
        </w:rPr>
        <w:t xml:space="preserve"> and e</w:t>
      </w:r>
      <w:r w:rsidR="008970A8" w:rsidRPr="008970A8">
        <w:rPr>
          <w:rFonts w:cstheme="minorHAnsi"/>
        </w:rPr>
        <w:t>ach patient receive</w:t>
      </w:r>
      <w:r w:rsidR="008970A8">
        <w:rPr>
          <w:rFonts w:cstheme="minorHAnsi"/>
        </w:rPr>
        <w:t>d</w:t>
      </w:r>
      <w:r w:rsidR="008970A8" w:rsidRPr="008970A8">
        <w:rPr>
          <w:rFonts w:cstheme="minorHAnsi"/>
        </w:rPr>
        <w:t xml:space="preserve"> $750 for participation</w:t>
      </w:r>
      <w:r w:rsidR="008970A8">
        <w:rPr>
          <w:rFonts w:cstheme="minorHAnsi"/>
        </w:rPr>
        <w:t xml:space="preserve"> </w:t>
      </w:r>
      <w:r w:rsidR="008970A8" w:rsidRPr="008970A8">
        <w:rPr>
          <w:rFonts w:cstheme="minorHAnsi"/>
        </w:rPr>
        <w:t>in the assessment demonstrations</w:t>
      </w:r>
      <w:r>
        <w:rPr>
          <w:rFonts w:cstheme="minorHAnsi"/>
        </w:rPr>
        <w:t>. P</w:t>
      </w:r>
      <w:r w:rsidR="000800F2" w:rsidRPr="000800F2">
        <w:rPr>
          <w:rFonts w:cstheme="minorHAnsi"/>
        </w:rPr>
        <w:t xml:space="preserve">atient demonstrations </w:t>
      </w:r>
      <w:r w:rsidR="008970A8">
        <w:rPr>
          <w:rFonts w:cstheme="minorHAnsi"/>
        </w:rPr>
        <w:t>were</w:t>
      </w:r>
      <w:r w:rsidR="000800F2" w:rsidRPr="000800F2">
        <w:rPr>
          <w:rFonts w:cstheme="minorHAnsi"/>
        </w:rPr>
        <w:t xml:space="preserve"> followed by patient case vignettes featuring</w:t>
      </w:r>
      <w:r w:rsidR="004F1C26">
        <w:rPr>
          <w:rFonts w:cstheme="minorHAnsi"/>
        </w:rPr>
        <w:t xml:space="preserve"> </w:t>
      </w:r>
      <w:r w:rsidR="000800F2" w:rsidRPr="000800F2">
        <w:rPr>
          <w:rFonts w:cstheme="minorHAnsi"/>
        </w:rPr>
        <w:t>patient videos or photographs and ARS questions designed to provide a virtual patient</w:t>
      </w:r>
      <w:r w:rsidR="004F1C26">
        <w:rPr>
          <w:rFonts w:cstheme="minorHAnsi"/>
        </w:rPr>
        <w:t xml:space="preserve"> </w:t>
      </w:r>
      <w:r w:rsidR="000800F2" w:rsidRPr="000800F2">
        <w:rPr>
          <w:rFonts w:cstheme="minorHAnsi"/>
        </w:rPr>
        <w:t>assessment experience for the participants. All patient photographs and/or videos used in the</w:t>
      </w:r>
      <w:r w:rsidR="004F1C26">
        <w:rPr>
          <w:rFonts w:cstheme="minorHAnsi"/>
        </w:rPr>
        <w:t xml:space="preserve"> </w:t>
      </w:r>
      <w:r w:rsidR="000800F2" w:rsidRPr="000800F2">
        <w:rPr>
          <w:rFonts w:cstheme="minorHAnsi"/>
        </w:rPr>
        <w:t xml:space="preserve">vignettes </w:t>
      </w:r>
      <w:r w:rsidR="008970A8">
        <w:rPr>
          <w:rFonts w:cstheme="minorHAnsi"/>
        </w:rPr>
        <w:t>were</w:t>
      </w:r>
      <w:r w:rsidR="000800F2" w:rsidRPr="000800F2">
        <w:rPr>
          <w:rFonts w:cstheme="minorHAnsi"/>
        </w:rPr>
        <w:t xml:space="preserve"> unidentifiable. </w:t>
      </w:r>
      <w:bookmarkEnd w:id="15"/>
      <w:r w:rsidR="000800F2" w:rsidRPr="000800F2">
        <w:rPr>
          <w:rFonts w:cstheme="minorHAnsi"/>
        </w:rPr>
        <w:t>Participants also receive</w:t>
      </w:r>
      <w:r w:rsidR="00C53A51">
        <w:rPr>
          <w:rFonts w:cstheme="minorHAnsi"/>
        </w:rPr>
        <w:t>d</w:t>
      </w:r>
      <w:r w:rsidR="000800F2" w:rsidRPr="000800F2">
        <w:rPr>
          <w:rFonts w:cstheme="minorHAnsi"/>
        </w:rPr>
        <w:t xml:space="preserve"> implementation resources consisting of laminated pocket</w:t>
      </w:r>
      <w:r w:rsidR="004F1C26">
        <w:rPr>
          <w:rFonts w:cstheme="minorHAnsi"/>
        </w:rPr>
        <w:t xml:space="preserve"> </w:t>
      </w:r>
      <w:r w:rsidR="000800F2" w:rsidRPr="000800F2">
        <w:rPr>
          <w:rFonts w:cstheme="minorHAnsi"/>
        </w:rPr>
        <w:t>cards, reference booklets, score cards, checklists, and apps deemed appropriate by expert</w:t>
      </w:r>
      <w:r w:rsidR="004F1C26">
        <w:rPr>
          <w:rFonts w:cstheme="minorHAnsi"/>
        </w:rPr>
        <w:t xml:space="preserve"> </w:t>
      </w:r>
      <w:r w:rsidR="000800F2" w:rsidRPr="000800F2">
        <w:rPr>
          <w:rFonts w:cstheme="minorHAnsi"/>
        </w:rPr>
        <w:t>psoriasis and PsA faculty to ensure practicality in aiding participants in improving their clinical</w:t>
      </w:r>
      <w:r w:rsidR="004F1C26">
        <w:rPr>
          <w:rFonts w:cstheme="minorHAnsi"/>
        </w:rPr>
        <w:t xml:space="preserve"> </w:t>
      </w:r>
      <w:r w:rsidR="000800F2" w:rsidRPr="000800F2">
        <w:rPr>
          <w:rFonts w:cstheme="minorHAnsi"/>
        </w:rPr>
        <w:t>practice. As a part of the workshop, participants complete</w:t>
      </w:r>
      <w:r w:rsidR="004F1C26">
        <w:rPr>
          <w:rFonts w:cstheme="minorHAnsi"/>
        </w:rPr>
        <w:t>d</w:t>
      </w:r>
      <w:r w:rsidR="000800F2" w:rsidRPr="000800F2">
        <w:rPr>
          <w:rFonts w:cstheme="minorHAnsi"/>
        </w:rPr>
        <w:t xml:space="preserve"> pre</w:t>
      </w:r>
      <w:r w:rsidR="004B6531">
        <w:rPr>
          <w:rFonts w:cstheme="minorHAnsi"/>
        </w:rPr>
        <w:t>/</w:t>
      </w:r>
      <w:r w:rsidR="000800F2" w:rsidRPr="000800F2">
        <w:rPr>
          <w:rFonts w:cstheme="minorHAnsi"/>
        </w:rPr>
        <w:t>post</w:t>
      </w:r>
      <w:r w:rsidR="002405AC">
        <w:rPr>
          <w:rFonts w:cstheme="minorHAnsi"/>
        </w:rPr>
        <w:t xml:space="preserve"> </w:t>
      </w:r>
      <w:r w:rsidR="000800F2" w:rsidRPr="000800F2">
        <w:rPr>
          <w:rFonts w:cstheme="minorHAnsi"/>
        </w:rPr>
        <w:t>questionnaires.</w:t>
      </w:r>
      <w:r w:rsidR="004F1C26">
        <w:rPr>
          <w:rFonts w:cstheme="minorHAnsi"/>
        </w:rPr>
        <w:t xml:space="preserve"> </w:t>
      </w:r>
      <w:r w:rsidR="000800F2" w:rsidRPr="000800F2">
        <w:rPr>
          <w:rFonts w:cstheme="minorHAnsi"/>
        </w:rPr>
        <w:t>Participants also complete</w:t>
      </w:r>
      <w:r w:rsidR="004F1C26">
        <w:rPr>
          <w:rFonts w:cstheme="minorHAnsi"/>
        </w:rPr>
        <w:t>d</w:t>
      </w:r>
      <w:r w:rsidR="000800F2" w:rsidRPr="000800F2">
        <w:rPr>
          <w:rFonts w:cstheme="minorHAnsi"/>
        </w:rPr>
        <w:t xml:space="preserve"> an evaluation at the conclusion of the workshop.</w:t>
      </w:r>
      <w:r w:rsidR="004F1C26">
        <w:rPr>
          <w:rFonts w:cstheme="minorHAnsi"/>
        </w:rPr>
        <w:t xml:space="preserve">  </w:t>
      </w:r>
      <w:r w:rsidR="00C53A51">
        <w:rPr>
          <w:rFonts w:cstheme="minorHAnsi"/>
        </w:rPr>
        <w:br/>
      </w:r>
      <w:r w:rsidR="000800F2" w:rsidRPr="00D90E04">
        <w:rPr>
          <w:rFonts w:cstheme="minorHAnsi"/>
          <w:i/>
        </w:rPr>
        <w:t>Baseline</w:t>
      </w:r>
    </w:p>
    <w:p w14:paraId="45D9FC6C" w14:textId="0AACB6F6" w:rsidR="000800F2" w:rsidRPr="000800F2" w:rsidRDefault="000800F2" w:rsidP="000800F2">
      <w:pPr>
        <w:spacing w:after="0" w:line="240" w:lineRule="auto"/>
        <w:rPr>
          <w:rFonts w:cstheme="minorHAnsi"/>
        </w:rPr>
      </w:pPr>
      <w:r w:rsidRPr="000800F2">
        <w:rPr>
          <w:rFonts w:cstheme="minorHAnsi"/>
        </w:rPr>
        <w:t>After the workshop, participants continue</w:t>
      </w:r>
      <w:r w:rsidR="004F1C26">
        <w:rPr>
          <w:rFonts w:cstheme="minorHAnsi"/>
        </w:rPr>
        <w:t>d</w:t>
      </w:r>
      <w:r w:rsidRPr="000800F2">
        <w:rPr>
          <w:rFonts w:cstheme="minorHAnsi"/>
        </w:rPr>
        <w:t xml:space="preserve"> to be engaged in learning through participation</w:t>
      </w:r>
    </w:p>
    <w:p w14:paraId="3921CE5A" w14:textId="026878D4" w:rsidR="000800F2" w:rsidRPr="000800F2" w:rsidRDefault="000800F2" w:rsidP="000800F2">
      <w:pPr>
        <w:spacing w:after="0" w:line="240" w:lineRule="auto"/>
        <w:rPr>
          <w:rFonts w:cstheme="minorHAnsi"/>
        </w:rPr>
      </w:pPr>
      <w:r w:rsidRPr="000800F2">
        <w:rPr>
          <w:rFonts w:cstheme="minorHAnsi"/>
        </w:rPr>
        <w:t xml:space="preserve">in the </w:t>
      </w:r>
      <w:r w:rsidR="004F1C26">
        <w:rPr>
          <w:rFonts w:cstheme="minorHAnsi"/>
        </w:rPr>
        <w:t xml:space="preserve">implementation </w:t>
      </w:r>
      <w:r w:rsidRPr="000800F2">
        <w:rPr>
          <w:rFonts w:cstheme="minorHAnsi"/>
        </w:rPr>
        <w:t>portion of the</w:t>
      </w:r>
      <w:r w:rsidR="00C53A51">
        <w:rPr>
          <w:rFonts w:cstheme="minorHAnsi"/>
        </w:rPr>
        <w:t xml:space="preserve"> overall</w:t>
      </w:r>
      <w:r w:rsidRPr="000800F2">
        <w:rPr>
          <w:rFonts w:cstheme="minorHAnsi"/>
        </w:rPr>
        <w:t xml:space="preserve"> blended learning experience. Within a month (30 days) of attending</w:t>
      </w:r>
      <w:r w:rsidR="004F1C26">
        <w:rPr>
          <w:rFonts w:cstheme="minorHAnsi"/>
        </w:rPr>
        <w:t xml:space="preserve"> </w:t>
      </w:r>
      <w:r w:rsidR="00C53A51">
        <w:rPr>
          <w:rFonts w:cstheme="minorHAnsi"/>
        </w:rPr>
        <w:t>a workshop</w:t>
      </w:r>
      <w:r w:rsidRPr="000800F2">
        <w:rPr>
          <w:rFonts w:cstheme="minorHAnsi"/>
        </w:rPr>
        <w:t xml:space="preserve">, participants </w:t>
      </w:r>
      <w:r w:rsidR="004F1C26">
        <w:rPr>
          <w:rFonts w:cstheme="minorHAnsi"/>
        </w:rPr>
        <w:t>were to</w:t>
      </w:r>
      <w:r w:rsidRPr="000800F2">
        <w:rPr>
          <w:rFonts w:cstheme="minorHAnsi"/>
        </w:rPr>
        <w:t xml:space="preserve"> complete a baseline audit of at least 5 patient charts. Inclusion</w:t>
      </w:r>
      <w:r w:rsidR="004F1C26">
        <w:rPr>
          <w:rFonts w:cstheme="minorHAnsi"/>
        </w:rPr>
        <w:t xml:space="preserve"> </w:t>
      </w:r>
      <w:r w:rsidRPr="000800F2">
        <w:rPr>
          <w:rFonts w:cstheme="minorHAnsi"/>
        </w:rPr>
        <w:t xml:space="preserve">criteria for the charts </w:t>
      </w:r>
      <w:r w:rsidR="004F1C26">
        <w:rPr>
          <w:rFonts w:cstheme="minorHAnsi"/>
        </w:rPr>
        <w:t xml:space="preserve">were </w:t>
      </w:r>
      <w:r w:rsidRPr="000800F2">
        <w:rPr>
          <w:rFonts w:cstheme="minorHAnsi"/>
        </w:rPr>
        <w:t xml:space="preserve">that the patient </w:t>
      </w:r>
      <w:r w:rsidR="004F1C26">
        <w:rPr>
          <w:rFonts w:cstheme="minorHAnsi"/>
        </w:rPr>
        <w:t>be</w:t>
      </w:r>
      <w:r w:rsidRPr="000800F2">
        <w:rPr>
          <w:rFonts w:cstheme="minorHAnsi"/>
        </w:rPr>
        <w:t xml:space="preserve"> an established patient with psoriasis aged 18</w:t>
      </w:r>
    </w:p>
    <w:p w14:paraId="60F630CE" w14:textId="470A826F" w:rsidR="000800F2" w:rsidRPr="000800F2" w:rsidRDefault="000800F2" w:rsidP="000800F2">
      <w:pPr>
        <w:spacing w:after="0" w:line="240" w:lineRule="auto"/>
        <w:rPr>
          <w:rFonts w:cstheme="minorHAnsi"/>
        </w:rPr>
      </w:pPr>
      <w:r w:rsidRPr="000800F2">
        <w:rPr>
          <w:rFonts w:cstheme="minorHAnsi"/>
        </w:rPr>
        <w:t xml:space="preserve">years or older who </w:t>
      </w:r>
      <w:r w:rsidR="004B6531">
        <w:rPr>
          <w:rFonts w:cstheme="minorHAnsi"/>
        </w:rPr>
        <w:t>was</w:t>
      </w:r>
      <w:r w:rsidR="002B26B2">
        <w:rPr>
          <w:rFonts w:cstheme="minorHAnsi"/>
        </w:rPr>
        <w:t xml:space="preserve"> </w:t>
      </w:r>
      <w:r w:rsidRPr="000800F2">
        <w:rPr>
          <w:rFonts w:cstheme="minorHAnsi"/>
        </w:rPr>
        <w:t>not clear of disease and who was last seen within 2 months prior to the</w:t>
      </w:r>
    </w:p>
    <w:p w14:paraId="5FBB2E11" w14:textId="5D13D283" w:rsidR="000800F2" w:rsidRPr="000800F2" w:rsidRDefault="000800F2" w:rsidP="000800F2">
      <w:pPr>
        <w:spacing w:after="0" w:line="240" w:lineRule="auto"/>
        <w:rPr>
          <w:rFonts w:cstheme="minorHAnsi"/>
        </w:rPr>
      </w:pPr>
      <w:r w:rsidRPr="000800F2">
        <w:rPr>
          <w:rFonts w:cstheme="minorHAnsi"/>
        </w:rPr>
        <w:t xml:space="preserve">date of the workshop. At this same time, participants </w:t>
      </w:r>
      <w:r w:rsidR="004F1C26">
        <w:rPr>
          <w:rFonts w:cstheme="minorHAnsi"/>
        </w:rPr>
        <w:t>were to</w:t>
      </w:r>
      <w:r w:rsidRPr="000800F2">
        <w:rPr>
          <w:rFonts w:cstheme="minorHAnsi"/>
        </w:rPr>
        <w:t xml:space="preserve"> recruit at least 10 of their patients</w:t>
      </w:r>
    </w:p>
    <w:p w14:paraId="2AE33D36" w14:textId="79E186D5" w:rsidR="000800F2" w:rsidRPr="000800F2" w:rsidRDefault="000800F2" w:rsidP="000800F2">
      <w:pPr>
        <w:spacing w:after="0" w:line="240" w:lineRule="auto"/>
        <w:rPr>
          <w:rFonts w:cstheme="minorHAnsi"/>
        </w:rPr>
      </w:pPr>
      <w:r w:rsidRPr="000800F2">
        <w:rPr>
          <w:rFonts w:cstheme="minorHAnsi"/>
        </w:rPr>
        <w:lastRenderedPageBreak/>
        <w:t xml:space="preserve">with psoriasis to complete a baseline </w:t>
      </w:r>
      <w:r w:rsidR="004F1C26">
        <w:rPr>
          <w:rFonts w:cstheme="minorHAnsi"/>
        </w:rPr>
        <w:t xml:space="preserve">QOL </w:t>
      </w:r>
      <w:r w:rsidRPr="000800F2">
        <w:rPr>
          <w:rFonts w:cstheme="minorHAnsi"/>
        </w:rPr>
        <w:t xml:space="preserve">questionnaire. Patient inclusion criteria </w:t>
      </w:r>
      <w:r w:rsidR="004F1C26">
        <w:rPr>
          <w:rFonts w:cstheme="minorHAnsi"/>
        </w:rPr>
        <w:t xml:space="preserve">was </w:t>
      </w:r>
      <w:r w:rsidRPr="000800F2">
        <w:rPr>
          <w:rFonts w:cstheme="minorHAnsi"/>
        </w:rPr>
        <w:t>that the</w:t>
      </w:r>
    </w:p>
    <w:p w14:paraId="7CA9BD93" w14:textId="51FD7360" w:rsidR="000800F2" w:rsidRPr="000800F2" w:rsidRDefault="000800F2" w:rsidP="000800F2">
      <w:pPr>
        <w:spacing w:after="0" w:line="240" w:lineRule="auto"/>
        <w:rPr>
          <w:rFonts w:cstheme="minorHAnsi"/>
        </w:rPr>
      </w:pPr>
      <w:r w:rsidRPr="000800F2">
        <w:rPr>
          <w:rFonts w:cstheme="minorHAnsi"/>
        </w:rPr>
        <w:t>patient is an established patient with psoriasis aged 18 years or older who is not clear of</w:t>
      </w:r>
      <w:r w:rsidR="004F1C26">
        <w:rPr>
          <w:rFonts w:cstheme="minorHAnsi"/>
        </w:rPr>
        <w:t xml:space="preserve"> </w:t>
      </w:r>
      <w:r w:rsidRPr="000800F2">
        <w:rPr>
          <w:rFonts w:cstheme="minorHAnsi"/>
        </w:rPr>
        <w:t>disease and who was last seen within 2 months prior to the date of the workshop.</w:t>
      </w:r>
    </w:p>
    <w:p w14:paraId="16DAB182" w14:textId="77777777" w:rsidR="000800F2" w:rsidRPr="00D90E04" w:rsidRDefault="000800F2" w:rsidP="000800F2">
      <w:pPr>
        <w:spacing w:after="0" w:line="240" w:lineRule="auto"/>
        <w:rPr>
          <w:rFonts w:cstheme="minorHAnsi"/>
          <w:i/>
        </w:rPr>
      </w:pPr>
      <w:r w:rsidRPr="00D90E04">
        <w:rPr>
          <w:rFonts w:cstheme="minorHAnsi"/>
          <w:i/>
        </w:rPr>
        <w:t>Follow-up</w:t>
      </w:r>
    </w:p>
    <w:p w14:paraId="5ED87A80" w14:textId="3FA81E19" w:rsidR="000800F2" w:rsidRPr="000800F2" w:rsidRDefault="000800F2" w:rsidP="000800F2">
      <w:pPr>
        <w:spacing w:after="0" w:line="240" w:lineRule="auto"/>
        <w:rPr>
          <w:rFonts w:cstheme="minorHAnsi"/>
        </w:rPr>
      </w:pPr>
      <w:r w:rsidRPr="000800F2">
        <w:rPr>
          <w:rFonts w:cstheme="minorHAnsi"/>
        </w:rPr>
        <w:t xml:space="preserve">Six months (180 days) following the workshop, participants </w:t>
      </w:r>
      <w:r w:rsidR="004F1C26">
        <w:rPr>
          <w:rFonts w:cstheme="minorHAnsi"/>
        </w:rPr>
        <w:t>were to</w:t>
      </w:r>
      <w:r w:rsidRPr="000800F2">
        <w:rPr>
          <w:rFonts w:cstheme="minorHAnsi"/>
        </w:rPr>
        <w:t xml:space="preserve"> complete a follow-up chart</w:t>
      </w:r>
    </w:p>
    <w:p w14:paraId="31E07C22" w14:textId="792DABC4" w:rsidR="000800F2" w:rsidRPr="000800F2" w:rsidRDefault="000800F2" w:rsidP="000800F2">
      <w:pPr>
        <w:spacing w:after="0" w:line="240" w:lineRule="auto"/>
        <w:rPr>
          <w:rFonts w:cstheme="minorHAnsi"/>
        </w:rPr>
      </w:pPr>
      <w:r w:rsidRPr="000800F2">
        <w:rPr>
          <w:rFonts w:cstheme="minorHAnsi"/>
        </w:rPr>
        <w:t xml:space="preserve">audit. Inclusion criteria for the patient charts </w:t>
      </w:r>
      <w:r w:rsidR="004F1C26">
        <w:rPr>
          <w:rFonts w:cstheme="minorHAnsi"/>
        </w:rPr>
        <w:t xml:space="preserve">was </w:t>
      </w:r>
      <w:r w:rsidRPr="000800F2">
        <w:rPr>
          <w:rFonts w:cstheme="minorHAnsi"/>
        </w:rPr>
        <w:t xml:space="preserve">that the patient </w:t>
      </w:r>
      <w:r w:rsidR="004B6531">
        <w:rPr>
          <w:rFonts w:cstheme="minorHAnsi"/>
        </w:rPr>
        <w:t>wa</w:t>
      </w:r>
      <w:r w:rsidRPr="000800F2">
        <w:rPr>
          <w:rFonts w:cstheme="minorHAnsi"/>
        </w:rPr>
        <w:t>s an established patient</w:t>
      </w:r>
    </w:p>
    <w:p w14:paraId="0C06F2F4" w14:textId="77777777" w:rsidR="000800F2" w:rsidRPr="000800F2" w:rsidRDefault="000800F2" w:rsidP="000800F2">
      <w:pPr>
        <w:spacing w:after="0" w:line="240" w:lineRule="auto"/>
        <w:rPr>
          <w:rFonts w:cstheme="minorHAnsi"/>
        </w:rPr>
      </w:pPr>
      <w:r w:rsidRPr="000800F2">
        <w:rPr>
          <w:rFonts w:cstheme="minorHAnsi"/>
        </w:rPr>
        <w:t>with psoriasis aged 18 years or older who was last seen within the past 2 months. At this time,</w:t>
      </w:r>
    </w:p>
    <w:p w14:paraId="01A342E0" w14:textId="63552BF1" w:rsidR="000800F2" w:rsidRPr="000800F2" w:rsidRDefault="000800F2" w:rsidP="000800F2">
      <w:pPr>
        <w:spacing w:after="0" w:line="240" w:lineRule="auto"/>
        <w:rPr>
          <w:rFonts w:cstheme="minorHAnsi"/>
        </w:rPr>
      </w:pPr>
      <w:r w:rsidRPr="000800F2">
        <w:rPr>
          <w:rFonts w:cstheme="minorHAnsi"/>
        </w:rPr>
        <w:t xml:space="preserve">participants </w:t>
      </w:r>
      <w:r w:rsidR="004F1C26">
        <w:rPr>
          <w:rFonts w:cstheme="minorHAnsi"/>
        </w:rPr>
        <w:t xml:space="preserve">were to </w:t>
      </w:r>
      <w:r w:rsidRPr="000800F2">
        <w:rPr>
          <w:rFonts w:cstheme="minorHAnsi"/>
        </w:rPr>
        <w:t xml:space="preserve">ask patients who participated in the baseline </w:t>
      </w:r>
      <w:r w:rsidR="004F1C26">
        <w:rPr>
          <w:rFonts w:cstheme="minorHAnsi"/>
        </w:rPr>
        <w:t xml:space="preserve">QOL </w:t>
      </w:r>
      <w:r w:rsidRPr="000800F2">
        <w:rPr>
          <w:rFonts w:cstheme="minorHAnsi"/>
        </w:rPr>
        <w:t xml:space="preserve">questionnaire and </w:t>
      </w:r>
      <w:r w:rsidR="004F1C26">
        <w:rPr>
          <w:rFonts w:cstheme="minorHAnsi"/>
        </w:rPr>
        <w:t>had</w:t>
      </w:r>
      <w:r w:rsidRPr="000800F2">
        <w:rPr>
          <w:rFonts w:cstheme="minorHAnsi"/>
        </w:rPr>
        <w:t xml:space="preserve"> been</w:t>
      </w:r>
    </w:p>
    <w:p w14:paraId="6F4942BF" w14:textId="513F4686" w:rsidR="000800F2" w:rsidRPr="000800F2" w:rsidRDefault="000800F2" w:rsidP="000800F2">
      <w:pPr>
        <w:spacing w:after="0" w:line="240" w:lineRule="auto"/>
        <w:rPr>
          <w:rFonts w:cstheme="minorHAnsi"/>
        </w:rPr>
      </w:pPr>
      <w:r w:rsidRPr="000800F2">
        <w:rPr>
          <w:rFonts w:cstheme="minorHAnsi"/>
        </w:rPr>
        <w:t>seen at least once since then</w:t>
      </w:r>
      <w:r w:rsidR="004F1C26">
        <w:rPr>
          <w:rFonts w:cstheme="minorHAnsi"/>
        </w:rPr>
        <w:t>,</w:t>
      </w:r>
      <w:r w:rsidRPr="000800F2">
        <w:rPr>
          <w:rFonts w:cstheme="minorHAnsi"/>
        </w:rPr>
        <w:t xml:space="preserve"> to complete a follow-up </w:t>
      </w:r>
      <w:r w:rsidR="00C53A51">
        <w:rPr>
          <w:rFonts w:cstheme="minorHAnsi"/>
        </w:rPr>
        <w:t xml:space="preserve">QOL </w:t>
      </w:r>
      <w:r w:rsidRPr="000800F2">
        <w:rPr>
          <w:rFonts w:cstheme="minorHAnsi"/>
        </w:rPr>
        <w:t xml:space="preserve">questionnaire. Finally, participants </w:t>
      </w:r>
      <w:r w:rsidR="004F1C26">
        <w:rPr>
          <w:rFonts w:cstheme="minorHAnsi"/>
        </w:rPr>
        <w:t>were to</w:t>
      </w:r>
    </w:p>
    <w:p w14:paraId="68927C24" w14:textId="0D658A8B" w:rsidR="000800F2" w:rsidRPr="000800F2" w:rsidRDefault="000800F2" w:rsidP="000800F2">
      <w:pPr>
        <w:spacing w:after="0" w:line="240" w:lineRule="auto"/>
        <w:rPr>
          <w:rFonts w:cstheme="minorHAnsi"/>
        </w:rPr>
      </w:pPr>
      <w:r w:rsidRPr="000800F2">
        <w:rPr>
          <w:rFonts w:cstheme="minorHAnsi"/>
        </w:rPr>
        <w:t>complete a follow-up questionnaire, which include</w:t>
      </w:r>
      <w:r w:rsidR="004F1C26">
        <w:rPr>
          <w:rFonts w:cstheme="minorHAnsi"/>
        </w:rPr>
        <w:t>d</w:t>
      </w:r>
      <w:r w:rsidRPr="000800F2">
        <w:rPr>
          <w:rFonts w:cstheme="minorHAnsi"/>
        </w:rPr>
        <w:t xml:space="preserve"> an evaluation of the</w:t>
      </w:r>
      <w:r w:rsidR="00C53A51">
        <w:rPr>
          <w:rFonts w:cstheme="minorHAnsi"/>
        </w:rPr>
        <w:t xml:space="preserve"> overall </w:t>
      </w:r>
      <w:r w:rsidR="00740596">
        <w:rPr>
          <w:rFonts w:cstheme="minorHAnsi"/>
        </w:rPr>
        <w:t>blended</w:t>
      </w:r>
      <w:r w:rsidRPr="000800F2">
        <w:rPr>
          <w:rFonts w:cstheme="minorHAnsi"/>
        </w:rPr>
        <w:t xml:space="preserve"> learning</w:t>
      </w:r>
    </w:p>
    <w:p w14:paraId="56B165E4" w14:textId="5987501E" w:rsidR="004F1C26" w:rsidRPr="00D90E04" w:rsidRDefault="000800F2" w:rsidP="004F1C26">
      <w:pPr>
        <w:spacing w:after="0" w:line="240" w:lineRule="auto"/>
        <w:rPr>
          <w:rFonts w:cstheme="minorHAnsi"/>
          <w:i/>
        </w:rPr>
      </w:pPr>
      <w:r w:rsidRPr="000800F2">
        <w:rPr>
          <w:rFonts w:cstheme="minorHAnsi"/>
        </w:rPr>
        <w:t xml:space="preserve">experience. </w:t>
      </w:r>
    </w:p>
    <w:p w14:paraId="2462E6B2" w14:textId="75AA1BEF" w:rsidR="000800F2" w:rsidRPr="000800F2" w:rsidRDefault="000800F2" w:rsidP="000800F2">
      <w:pPr>
        <w:spacing w:after="0" w:line="240" w:lineRule="auto"/>
        <w:rPr>
          <w:rFonts w:cstheme="minorHAnsi"/>
        </w:rPr>
      </w:pPr>
      <w:r w:rsidRPr="00D90E04">
        <w:rPr>
          <w:rFonts w:cstheme="minorHAnsi"/>
          <w:i/>
        </w:rPr>
        <w:t>Online Module</w:t>
      </w:r>
    </w:p>
    <w:p w14:paraId="476A0735" w14:textId="35FFBEBB" w:rsidR="007C2B5E" w:rsidRDefault="00C53A51" w:rsidP="00CD72AC">
      <w:pPr>
        <w:spacing w:after="0" w:line="240" w:lineRule="auto"/>
        <w:rPr>
          <w:rFonts w:cstheme="minorHAnsi"/>
          <w:u w:val="single"/>
        </w:rPr>
      </w:pPr>
      <w:r>
        <w:rPr>
          <w:rFonts w:cstheme="minorHAnsi"/>
        </w:rPr>
        <w:t xml:space="preserve">Upon completion of the overall </w:t>
      </w:r>
      <w:r w:rsidR="000800F2" w:rsidRPr="000800F2">
        <w:rPr>
          <w:rFonts w:cstheme="minorHAnsi"/>
        </w:rPr>
        <w:t xml:space="preserve">blended learning experience, a </w:t>
      </w:r>
      <w:r w:rsidR="0069525D">
        <w:rPr>
          <w:rFonts w:cstheme="minorHAnsi"/>
        </w:rPr>
        <w:t xml:space="preserve">complimentary </w:t>
      </w:r>
      <w:r w:rsidR="000800F2" w:rsidRPr="000800F2">
        <w:rPr>
          <w:rFonts w:cstheme="minorHAnsi"/>
        </w:rPr>
        <w:t xml:space="preserve">online </w:t>
      </w:r>
      <w:r>
        <w:rPr>
          <w:rFonts w:cstheme="minorHAnsi"/>
        </w:rPr>
        <w:t xml:space="preserve">activity comprised of the initial blended </w:t>
      </w:r>
      <w:r w:rsidR="000800F2" w:rsidRPr="000800F2">
        <w:rPr>
          <w:rFonts w:cstheme="minorHAnsi"/>
        </w:rPr>
        <w:t xml:space="preserve">learning experience </w:t>
      </w:r>
      <w:r w:rsidR="001320D3">
        <w:rPr>
          <w:rFonts w:cstheme="minorHAnsi"/>
        </w:rPr>
        <w:t>was made</w:t>
      </w:r>
      <w:r>
        <w:rPr>
          <w:rFonts w:cstheme="minorHAnsi"/>
        </w:rPr>
        <w:t xml:space="preserve"> </w:t>
      </w:r>
      <w:r w:rsidR="000800F2" w:rsidRPr="000800F2">
        <w:rPr>
          <w:rFonts w:cstheme="minorHAnsi"/>
        </w:rPr>
        <w:t xml:space="preserve">available for those not able to attend </w:t>
      </w:r>
      <w:r w:rsidR="001320D3">
        <w:rPr>
          <w:rFonts w:cstheme="minorHAnsi"/>
        </w:rPr>
        <w:t>a</w:t>
      </w:r>
      <w:r w:rsidR="000800F2" w:rsidRPr="000800F2">
        <w:rPr>
          <w:rFonts w:cstheme="minorHAnsi"/>
        </w:rPr>
        <w:t xml:space="preserve"> live</w:t>
      </w:r>
      <w:r w:rsidR="001320D3">
        <w:rPr>
          <w:rFonts w:cstheme="minorHAnsi"/>
        </w:rPr>
        <w:t xml:space="preserve"> </w:t>
      </w:r>
      <w:r w:rsidR="000800F2" w:rsidRPr="000800F2">
        <w:rPr>
          <w:rFonts w:cstheme="minorHAnsi"/>
        </w:rPr>
        <w:t>workshop. For this</w:t>
      </w:r>
      <w:r w:rsidR="001320D3">
        <w:rPr>
          <w:rFonts w:cstheme="minorHAnsi"/>
        </w:rPr>
        <w:t xml:space="preserve"> </w:t>
      </w:r>
      <w:r>
        <w:rPr>
          <w:rFonts w:cstheme="minorHAnsi"/>
        </w:rPr>
        <w:t xml:space="preserve">online </w:t>
      </w:r>
      <w:r w:rsidR="001320D3">
        <w:rPr>
          <w:rFonts w:cstheme="minorHAnsi"/>
        </w:rPr>
        <w:t>activity</w:t>
      </w:r>
      <w:r w:rsidR="000800F2" w:rsidRPr="000800F2">
        <w:rPr>
          <w:rFonts w:cstheme="minorHAnsi"/>
        </w:rPr>
        <w:t xml:space="preserve">, 2 of the live workshops </w:t>
      </w:r>
      <w:r w:rsidR="001320D3">
        <w:rPr>
          <w:rFonts w:cstheme="minorHAnsi"/>
        </w:rPr>
        <w:t>were</w:t>
      </w:r>
      <w:r w:rsidR="000800F2" w:rsidRPr="000800F2">
        <w:rPr>
          <w:rFonts w:cstheme="minorHAnsi"/>
        </w:rPr>
        <w:t xml:space="preserve"> recorded and edited into </w:t>
      </w:r>
      <w:r w:rsidR="001320D3">
        <w:rPr>
          <w:rFonts w:cstheme="minorHAnsi"/>
        </w:rPr>
        <w:t xml:space="preserve">an </w:t>
      </w:r>
      <w:r w:rsidR="000800F2" w:rsidRPr="000800F2">
        <w:rPr>
          <w:rFonts w:cstheme="minorHAnsi"/>
        </w:rPr>
        <w:t>online module.</w:t>
      </w:r>
      <w:r w:rsidR="001320D3">
        <w:rPr>
          <w:rFonts w:cstheme="minorHAnsi"/>
        </w:rPr>
        <w:t xml:space="preserve"> </w:t>
      </w:r>
      <w:r w:rsidR="000800F2" w:rsidRPr="000800F2">
        <w:rPr>
          <w:rFonts w:cstheme="minorHAnsi"/>
        </w:rPr>
        <w:t xml:space="preserve">The implementation resources </w:t>
      </w:r>
      <w:r w:rsidR="001320D3">
        <w:rPr>
          <w:rFonts w:cstheme="minorHAnsi"/>
        </w:rPr>
        <w:t xml:space="preserve">were </w:t>
      </w:r>
      <w:r w:rsidR="000800F2" w:rsidRPr="000800F2">
        <w:rPr>
          <w:rFonts w:cstheme="minorHAnsi"/>
        </w:rPr>
        <w:t>provided as downloadable files</w:t>
      </w:r>
      <w:r w:rsidR="00CD72AC">
        <w:rPr>
          <w:rFonts w:cstheme="minorHAnsi"/>
        </w:rPr>
        <w:t>. The requirements of the online activity included</w:t>
      </w:r>
      <w:r w:rsidR="00972B8C">
        <w:rPr>
          <w:rFonts w:cstheme="minorHAnsi"/>
        </w:rPr>
        <w:t xml:space="preserve"> the following steps</w:t>
      </w:r>
      <w:r w:rsidR="00CD72AC">
        <w:rPr>
          <w:rFonts w:cstheme="minorHAnsi"/>
        </w:rPr>
        <w:t>:</w:t>
      </w:r>
    </w:p>
    <w:p w14:paraId="201CCEA5" w14:textId="71AAFAF2" w:rsidR="00CD72AC" w:rsidRPr="00CD72AC" w:rsidRDefault="00CD72AC" w:rsidP="007C2B5E">
      <w:pPr>
        <w:spacing w:after="0" w:line="240" w:lineRule="auto"/>
        <w:ind w:left="360"/>
        <w:rPr>
          <w:rFonts w:cstheme="minorHAnsi"/>
        </w:rPr>
      </w:pPr>
      <w:r w:rsidRPr="00CD72AC">
        <w:rPr>
          <w:rFonts w:cstheme="minorHAnsi"/>
          <w:u w:val="single"/>
        </w:rPr>
        <w:t>Step 1</w:t>
      </w:r>
      <w:r w:rsidRPr="00CD72AC">
        <w:rPr>
          <w:rFonts w:cstheme="minorHAnsi"/>
        </w:rPr>
        <w:br/>
        <w:t>Complete five brief, patient chart audits that collect information on the severity of the patient’s psoriasis, quality of life assessment, and screening for psoriatic arthritis.  The results of this chart audit exercise will serve as a baseline.</w:t>
      </w:r>
    </w:p>
    <w:p w14:paraId="336E57C9" w14:textId="7C4893D9" w:rsidR="0069525D" w:rsidRPr="0069525D" w:rsidRDefault="00CD72AC" w:rsidP="007C2B5E">
      <w:pPr>
        <w:spacing w:after="0" w:line="240" w:lineRule="auto"/>
        <w:ind w:left="360"/>
        <w:rPr>
          <w:rFonts w:cstheme="minorHAnsi"/>
        </w:rPr>
      </w:pPr>
      <w:r w:rsidRPr="00CD72AC">
        <w:rPr>
          <w:rFonts w:cstheme="minorHAnsi"/>
          <w:u w:val="single"/>
        </w:rPr>
        <w:t>Step 2</w:t>
      </w:r>
      <w:r w:rsidRPr="00CD72AC">
        <w:rPr>
          <w:rFonts w:cstheme="minorHAnsi"/>
        </w:rPr>
        <w:br/>
        <w:t xml:space="preserve">Hear from the experts </w:t>
      </w:r>
      <w:r>
        <w:rPr>
          <w:rFonts w:cstheme="minorHAnsi"/>
        </w:rPr>
        <w:t xml:space="preserve">using </w:t>
      </w:r>
      <w:r w:rsidRPr="00CD72AC">
        <w:rPr>
          <w:rFonts w:cstheme="minorHAnsi"/>
        </w:rPr>
        <w:t>on-demand webinars</w:t>
      </w:r>
      <w:r w:rsidR="0007360C">
        <w:rPr>
          <w:rFonts w:cstheme="minorHAnsi"/>
        </w:rPr>
        <w:t>.</w:t>
      </w:r>
      <w:r w:rsidRPr="00CD72AC">
        <w:rPr>
          <w:rFonts w:cstheme="minorHAnsi"/>
        </w:rPr>
        <w:br/>
      </w:r>
      <w:r w:rsidR="0069525D" w:rsidRPr="0069525D">
        <w:rPr>
          <w:rFonts w:cstheme="minorHAnsi"/>
          <w:u w:val="single"/>
        </w:rPr>
        <w:t>Step 3</w:t>
      </w:r>
      <w:r w:rsidR="0069525D" w:rsidRPr="0069525D">
        <w:rPr>
          <w:rFonts w:cstheme="minorHAnsi"/>
        </w:rPr>
        <w:br/>
        <w:t>After viewing the webinars, complete five new patient chart audits and compare results to the baseline.</w:t>
      </w:r>
    </w:p>
    <w:p w14:paraId="1A7D1BD9" w14:textId="524F7B0C" w:rsidR="0069525D" w:rsidRPr="0069525D" w:rsidRDefault="0069525D" w:rsidP="007C2B5E">
      <w:pPr>
        <w:spacing w:after="0" w:line="240" w:lineRule="auto"/>
        <w:ind w:left="360"/>
        <w:rPr>
          <w:rFonts w:cstheme="minorHAnsi"/>
        </w:rPr>
      </w:pPr>
      <w:r w:rsidRPr="0069525D">
        <w:rPr>
          <w:rFonts w:cstheme="minorHAnsi"/>
          <w:u w:val="single"/>
        </w:rPr>
        <w:t>Step 4</w:t>
      </w:r>
      <w:r w:rsidRPr="0069525D">
        <w:rPr>
          <w:rFonts w:cstheme="minorHAnsi"/>
        </w:rPr>
        <w:br/>
        <w:t>Give your patients the opportunity to complete an anonymous survey</w:t>
      </w:r>
      <w:r w:rsidR="0007360C">
        <w:rPr>
          <w:rFonts w:cstheme="minorHAnsi"/>
        </w:rPr>
        <w:t>. Patients</w:t>
      </w:r>
      <w:r>
        <w:rPr>
          <w:rFonts w:cstheme="minorHAnsi"/>
        </w:rPr>
        <w:t xml:space="preserve"> </w:t>
      </w:r>
      <w:r w:rsidRPr="0069525D">
        <w:rPr>
          <w:rFonts w:cstheme="minorHAnsi"/>
        </w:rPr>
        <w:t>receive a $100 Amazon e</w:t>
      </w:r>
      <w:r w:rsidR="0007360C">
        <w:rPr>
          <w:rFonts w:cstheme="minorHAnsi"/>
        </w:rPr>
        <w:t>gift</w:t>
      </w:r>
      <w:r w:rsidRPr="0069525D">
        <w:rPr>
          <w:rFonts w:cstheme="minorHAnsi"/>
        </w:rPr>
        <w:t>card</w:t>
      </w:r>
      <w:r>
        <w:rPr>
          <w:rFonts w:cstheme="minorHAnsi"/>
        </w:rPr>
        <w:t xml:space="preserve"> for their time.</w:t>
      </w:r>
      <w:r w:rsidRPr="0069525D">
        <w:rPr>
          <w:rFonts w:cstheme="minorHAnsi"/>
        </w:rPr>
        <w:t xml:space="preserve"> </w:t>
      </w:r>
    </w:p>
    <w:p w14:paraId="723562A7" w14:textId="30830BDA" w:rsidR="001F33DB" w:rsidRPr="008521DA" w:rsidRDefault="001F33DB" w:rsidP="00C53A51">
      <w:pPr>
        <w:spacing w:after="0" w:line="240" w:lineRule="auto"/>
        <w:rPr>
          <w:rFonts w:cstheme="minorHAnsi"/>
        </w:rPr>
      </w:pPr>
      <w:r w:rsidRPr="001F33DB">
        <w:rPr>
          <w:rFonts w:cstheme="minorHAnsi"/>
          <w:i/>
        </w:rPr>
        <w:t>Incentives</w:t>
      </w:r>
      <w:r>
        <w:rPr>
          <w:rFonts w:cstheme="minorHAnsi"/>
          <w:i/>
        </w:rPr>
        <w:br/>
      </w:r>
      <w:r>
        <w:rPr>
          <w:rFonts w:cstheme="minorHAnsi"/>
        </w:rPr>
        <w:t xml:space="preserve">Learners were incentivized to participate </w:t>
      </w:r>
      <w:r w:rsidR="0069525D">
        <w:rPr>
          <w:rFonts w:cstheme="minorHAnsi"/>
        </w:rPr>
        <w:t xml:space="preserve">in </w:t>
      </w:r>
      <w:r>
        <w:rPr>
          <w:rFonts w:cstheme="minorHAnsi"/>
        </w:rPr>
        <w:t xml:space="preserve">the implementation </w:t>
      </w:r>
      <w:r w:rsidR="0069525D">
        <w:rPr>
          <w:rFonts w:cstheme="minorHAnsi"/>
        </w:rPr>
        <w:t>activities</w:t>
      </w:r>
      <w:r>
        <w:rPr>
          <w:rFonts w:cstheme="minorHAnsi"/>
        </w:rPr>
        <w:t xml:space="preserve"> with </w:t>
      </w:r>
      <w:r w:rsidRPr="008521DA">
        <w:rPr>
          <w:rFonts w:cstheme="minorHAnsi"/>
        </w:rPr>
        <w:t>a framed completion certificate signed by the chair of the AAD’s Council on</w:t>
      </w:r>
      <w:r>
        <w:rPr>
          <w:rFonts w:cstheme="minorHAnsi"/>
        </w:rPr>
        <w:t xml:space="preserve"> </w:t>
      </w:r>
      <w:r w:rsidRPr="008521DA">
        <w:rPr>
          <w:rFonts w:cstheme="minorHAnsi"/>
        </w:rPr>
        <w:t xml:space="preserve">Education and a $30 AAD store gift certificate </w:t>
      </w:r>
      <w:r>
        <w:rPr>
          <w:rFonts w:cstheme="minorHAnsi"/>
        </w:rPr>
        <w:t xml:space="preserve">for use </w:t>
      </w:r>
      <w:r w:rsidRPr="008521DA">
        <w:rPr>
          <w:rFonts w:cstheme="minorHAnsi"/>
        </w:rPr>
        <w:t>toward additional educational</w:t>
      </w:r>
      <w:r>
        <w:rPr>
          <w:rFonts w:cstheme="minorHAnsi"/>
        </w:rPr>
        <w:t xml:space="preserve"> </w:t>
      </w:r>
      <w:r w:rsidRPr="008521DA">
        <w:rPr>
          <w:rFonts w:cstheme="minorHAnsi"/>
        </w:rPr>
        <w:t xml:space="preserve">activities or 100 psoriasis and PsA pamphlets for patients. These incentives </w:t>
      </w:r>
      <w:r>
        <w:rPr>
          <w:rFonts w:cstheme="minorHAnsi"/>
        </w:rPr>
        <w:t xml:space="preserve">were </w:t>
      </w:r>
      <w:r w:rsidRPr="008521DA">
        <w:rPr>
          <w:rFonts w:cstheme="minorHAnsi"/>
        </w:rPr>
        <w:t>available to participants who complete</w:t>
      </w:r>
      <w:r>
        <w:rPr>
          <w:rFonts w:cstheme="minorHAnsi"/>
        </w:rPr>
        <w:t>d</w:t>
      </w:r>
      <w:r w:rsidRPr="008521DA">
        <w:rPr>
          <w:rFonts w:cstheme="minorHAnsi"/>
        </w:rPr>
        <w:t xml:space="preserve"> the entire learning experience</w:t>
      </w:r>
      <w:r>
        <w:rPr>
          <w:rFonts w:cstheme="minorHAnsi"/>
        </w:rPr>
        <w:t xml:space="preserve"> (e.g. workshop and both post workshop implementation activities). </w:t>
      </w:r>
      <w:r w:rsidR="0069525D">
        <w:rPr>
          <w:rFonts w:cstheme="minorHAnsi"/>
        </w:rPr>
        <w:t xml:space="preserve">Patients who were to be recruited by the learner, were incentivized with a </w:t>
      </w:r>
      <w:r w:rsidR="0069525D" w:rsidRPr="008521DA">
        <w:rPr>
          <w:rFonts w:cstheme="minorHAnsi"/>
        </w:rPr>
        <w:t xml:space="preserve">$50 </w:t>
      </w:r>
      <w:r w:rsidR="0069525D">
        <w:rPr>
          <w:rFonts w:cstheme="minorHAnsi"/>
        </w:rPr>
        <w:t>Amazon</w:t>
      </w:r>
      <w:r w:rsidR="0069525D" w:rsidRPr="008521DA">
        <w:rPr>
          <w:rFonts w:cstheme="minorHAnsi"/>
        </w:rPr>
        <w:t xml:space="preserve"> </w:t>
      </w:r>
      <w:proofErr w:type="spellStart"/>
      <w:r w:rsidR="0068495B">
        <w:rPr>
          <w:rFonts w:cstheme="minorHAnsi"/>
        </w:rPr>
        <w:t>e</w:t>
      </w:r>
      <w:r w:rsidR="0069525D" w:rsidRPr="008521DA">
        <w:rPr>
          <w:rFonts w:cstheme="minorHAnsi"/>
        </w:rPr>
        <w:t>giftcard</w:t>
      </w:r>
      <w:proofErr w:type="spellEnd"/>
      <w:r w:rsidR="0069525D" w:rsidRPr="008521DA">
        <w:rPr>
          <w:rFonts w:cstheme="minorHAnsi"/>
        </w:rPr>
        <w:t xml:space="preserve"> for their participation</w:t>
      </w:r>
      <w:r w:rsidR="00544BD7">
        <w:rPr>
          <w:rFonts w:cstheme="minorHAnsi"/>
        </w:rPr>
        <w:t xml:space="preserve"> in completing a pre and post Q</w:t>
      </w:r>
      <w:r w:rsidR="002405AC">
        <w:rPr>
          <w:rFonts w:cstheme="minorHAnsi"/>
        </w:rPr>
        <w:t>O</w:t>
      </w:r>
      <w:r w:rsidR="00544BD7">
        <w:rPr>
          <w:rFonts w:cstheme="minorHAnsi"/>
        </w:rPr>
        <w:t>L questionnaire</w:t>
      </w:r>
      <w:r w:rsidR="0069525D" w:rsidRPr="008521DA">
        <w:rPr>
          <w:rFonts w:cstheme="minorHAnsi"/>
        </w:rPr>
        <w:t>.</w:t>
      </w:r>
      <w:r w:rsidR="0069525D">
        <w:rPr>
          <w:rFonts w:cstheme="minorHAnsi"/>
        </w:rPr>
        <w:t xml:space="preserve"> </w:t>
      </w:r>
      <w:r>
        <w:rPr>
          <w:rFonts w:cstheme="minorHAnsi"/>
        </w:rPr>
        <w:t xml:space="preserve">The incentive for </w:t>
      </w:r>
      <w:r w:rsidR="00544BD7">
        <w:rPr>
          <w:rFonts w:cstheme="minorHAnsi"/>
        </w:rPr>
        <w:t xml:space="preserve">learners in </w:t>
      </w:r>
      <w:r>
        <w:rPr>
          <w:rFonts w:cstheme="minorHAnsi"/>
        </w:rPr>
        <w:t xml:space="preserve">the online activity was increased to a $100 AAD store gift certificate to encourage learners to </w:t>
      </w:r>
      <w:r w:rsidR="00544BD7">
        <w:rPr>
          <w:rFonts w:cstheme="minorHAnsi"/>
        </w:rPr>
        <w:t xml:space="preserve">enroll and </w:t>
      </w:r>
      <w:r>
        <w:rPr>
          <w:rFonts w:cstheme="minorHAnsi"/>
        </w:rPr>
        <w:t xml:space="preserve">complete the online activity. </w:t>
      </w:r>
      <w:r w:rsidRPr="008521DA">
        <w:rPr>
          <w:rFonts w:cstheme="minorHAnsi"/>
        </w:rPr>
        <w:t xml:space="preserve"> </w:t>
      </w:r>
      <w:r>
        <w:rPr>
          <w:rFonts w:cstheme="minorHAnsi"/>
        </w:rPr>
        <w:t xml:space="preserve"> Th</w:t>
      </w:r>
      <w:r w:rsidR="00544BD7">
        <w:rPr>
          <w:rFonts w:cstheme="minorHAnsi"/>
        </w:rPr>
        <w:t>e</w:t>
      </w:r>
      <w:r>
        <w:rPr>
          <w:rFonts w:cstheme="minorHAnsi"/>
        </w:rPr>
        <w:t xml:space="preserve"> incentive for patients was increased to a $100 </w:t>
      </w:r>
      <w:r w:rsidR="00544BD7">
        <w:rPr>
          <w:rFonts w:cstheme="minorHAnsi"/>
        </w:rPr>
        <w:t xml:space="preserve">Amazon </w:t>
      </w:r>
      <w:proofErr w:type="spellStart"/>
      <w:r w:rsidR="0068495B">
        <w:rPr>
          <w:rFonts w:cstheme="minorHAnsi"/>
        </w:rPr>
        <w:t>e</w:t>
      </w:r>
      <w:r>
        <w:rPr>
          <w:rFonts w:cstheme="minorHAnsi"/>
        </w:rPr>
        <w:t>giftcard</w:t>
      </w:r>
      <w:proofErr w:type="spellEnd"/>
      <w:r>
        <w:rPr>
          <w:rFonts w:cstheme="minorHAnsi"/>
        </w:rPr>
        <w:t xml:space="preserve"> for completing </w:t>
      </w:r>
      <w:bookmarkStart w:id="16" w:name="_Hlk7678361"/>
      <w:r>
        <w:rPr>
          <w:rFonts w:cstheme="minorHAnsi"/>
        </w:rPr>
        <w:t xml:space="preserve">the pre-QOL survey and a $100 for completing the post-QOL survey.   </w:t>
      </w:r>
    </w:p>
    <w:bookmarkEnd w:id="16"/>
    <w:p w14:paraId="59478D73" w14:textId="3298716F" w:rsidR="004A1893" w:rsidRDefault="00A35801" w:rsidP="0043166A">
      <w:pPr>
        <w:spacing w:after="0" w:line="240" w:lineRule="auto"/>
        <w:rPr>
          <w:rFonts w:cstheme="minorHAnsi"/>
        </w:rPr>
      </w:pPr>
      <w:r>
        <w:rPr>
          <w:rFonts w:cstheme="minorHAnsi"/>
        </w:rPr>
        <w:br/>
        <w:t>The timeline below allows for a reproduction of this blended learning experience</w:t>
      </w:r>
      <w:r w:rsidR="000422FF">
        <w:rPr>
          <w:rFonts w:cstheme="minorHAnsi"/>
        </w:rPr>
        <w:t xml:space="preserve"> (Tables 5 – 9)</w:t>
      </w:r>
      <w:r>
        <w:rPr>
          <w:rFonts w:cstheme="minorHAnsi"/>
        </w:rPr>
        <w:t>.</w:t>
      </w:r>
    </w:p>
    <w:p w14:paraId="70E6476A" w14:textId="45BC0639" w:rsidR="00646DB4" w:rsidRDefault="00C04E56" w:rsidP="0043166A">
      <w:pPr>
        <w:spacing w:after="0" w:line="240" w:lineRule="auto"/>
        <w:rPr>
          <w:rFonts w:cstheme="minorHAnsi"/>
        </w:rPr>
      </w:pPr>
      <w:r w:rsidRPr="0F75BF01">
        <w:lastRenderedPageBreak/>
        <w:t xml:space="preserve">  </w:t>
      </w:r>
      <w:r w:rsidR="00646DB4">
        <w:rPr>
          <w:rFonts w:cstheme="minorHAnsi"/>
        </w:rPr>
        <w:br/>
      </w:r>
      <w:r w:rsidR="00646DB4" w:rsidRPr="00646DB4">
        <w:rPr>
          <w:rFonts w:cstheme="minorHAnsi"/>
          <w:noProof/>
        </w:rPr>
        <w:drawing>
          <wp:inline distT="0" distB="0" distL="0" distR="0" wp14:anchorId="1E47894D" wp14:editId="58AFE021">
            <wp:extent cx="3321050" cy="132286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0164" cy="1346416"/>
                    </a:xfrm>
                    <a:prstGeom prst="rect">
                      <a:avLst/>
                    </a:prstGeom>
                    <a:noFill/>
                    <a:ln>
                      <a:noFill/>
                    </a:ln>
                  </pic:spPr>
                </pic:pic>
              </a:graphicData>
            </a:graphic>
          </wp:inline>
        </w:drawing>
      </w:r>
      <w:r w:rsidR="00646DB4">
        <w:rPr>
          <w:rFonts w:cstheme="minorHAnsi"/>
        </w:rPr>
        <w:br/>
      </w:r>
      <w:r w:rsidR="00646DB4" w:rsidRPr="00646DB4">
        <w:rPr>
          <w:rFonts w:cstheme="minorHAnsi"/>
          <w:noProof/>
        </w:rPr>
        <w:drawing>
          <wp:inline distT="0" distB="0" distL="0" distR="0" wp14:anchorId="7C618490" wp14:editId="085F06E0">
            <wp:extent cx="3251200" cy="1309638"/>
            <wp:effectExtent l="0" t="0" r="635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1842" cy="1326009"/>
                    </a:xfrm>
                    <a:prstGeom prst="rect">
                      <a:avLst/>
                    </a:prstGeom>
                    <a:noFill/>
                    <a:ln>
                      <a:noFill/>
                    </a:ln>
                  </pic:spPr>
                </pic:pic>
              </a:graphicData>
            </a:graphic>
          </wp:inline>
        </w:drawing>
      </w:r>
      <w:r w:rsidR="00646DB4">
        <w:rPr>
          <w:rFonts w:cstheme="minorHAnsi"/>
        </w:rPr>
        <w:br/>
      </w:r>
      <w:r w:rsidR="00646DB4" w:rsidRPr="00646DB4">
        <w:rPr>
          <w:rFonts w:cstheme="minorHAnsi"/>
          <w:noProof/>
        </w:rPr>
        <w:drawing>
          <wp:inline distT="0" distB="0" distL="0" distR="0" wp14:anchorId="3FCE884B" wp14:editId="574D66EC">
            <wp:extent cx="3181350" cy="1078577"/>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0659" cy="1098684"/>
                    </a:xfrm>
                    <a:prstGeom prst="rect">
                      <a:avLst/>
                    </a:prstGeom>
                    <a:noFill/>
                    <a:ln>
                      <a:noFill/>
                    </a:ln>
                  </pic:spPr>
                </pic:pic>
              </a:graphicData>
            </a:graphic>
          </wp:inline>
        </w:drawing>
      </w:r>
    </w:p>
    <w:p w14:paraId="2C2A1964" w14:textId="77777777" w:rsidR="00646DB4" w:rsidRDefault="00646DB4" w:rsidP="0043166A">
      <w:pPr>
        <w:spacing w:after="0" w:line="240" w:lineRule="auto"/>
        <w:rPr>
          <w:rFonts w:cstheme="minorHAnsi"/>
        </w:rPr>
      </w:pPr>
      <w:r w:rsidRPr="00646DB4">
        <w:rPr>
          <w:rFonts w:cstheme="minorHAnsi"/>
          <w:noProof/>
        </w:rPr>
        <w:drawing>
          <wp:inline distT="0" distB="0" distL="0" distR="0" wp14:anchorId="11EBA198" wp14:editId="34B8C1AC">
            <wp:extent cx="3105150" cy="15483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7058" cy="1569288"/>
                    </a:xfrm>
                    <a:prstGeom prst="rect">
                      <a:avLst/>
                    </a:prstGeom>
                    <a:noFill/>
                    <a:ln>
                      <a:noFill/>
                    </a:ln>
                  </pic:spPr>
                </pic:pic>
              </a:graphicData>
            </a:graphic>
          </wp:inline>
        </w:drawing>
      </w:r>
      <w:r>
        <w:rPr>
          <w:rFonts w:cstheme="minorHAnsi"/>
        </w:rPr>
        <w:br/>
      </w:r>
      <w:r w:rsidRPr="00646DB4">
        <w:rPr>
          <w:rFonts w:cstheme="minorHAnsi"/>
          <w:noProof/>
        </w:rPr>
        <w:drawing>
          <wp:inline distT="0" distB="0" distL="0" distR="0" wp14:anchorId="328A22DA" wp14:editId="2699AD59">
            <wp:extent cx="3073400" cy="21187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4303" cy="2140024"/>
                    </a:xfrm>
                    <a:prstGeom prst="rect">
                      <a:avLst/>
                    </a:prstGeom>
                    <a:noFill/>
                    <a:ln>
                      <a:noFill/>
                    </a:ln>
                  </pic:spPr>
                </pic:pic>
              </a:graphicData>
            </a:graphic>
          </wp:inline>
        </w:drawing>
      </w:r>
      <w:r>
        <w:rPr>
          <w:rFonts w:cstheme="minorHAnsi"/>
        </w:rPr>
        <w:br/>
      </w:r>
    </w:p>
    <w:p w14:paraId="0A115659" w14:textId="41B2A853" w:rsidR="00D90E04" w:rsidRDefault="0043166A" w:rsidP="0043166A">
      <w:pPr>
        <w:spacing w:after="0" w:line="240" w:lineRule="auto"/>
        <w:rPr>
          <w:rFonts w:cstheme="minorHAnsi"/>
        </w:rPr>
      </w:pPr>
      <w:r>
        <w:rPr>
          <w:rFonts w:cstheme="minorHAnsi"/>
        </w:rPr>
        <w:t>The team involved in the work include</w:t>
      </w:r>
      <w:r w:rsidR="00D90E04">
        <w:rPr>
          <w:rFonts w:cstheme="minorHAnsi"/>
        </w:rPr>
        <w:t>d</w:t>
      </w:r>
      <w:r>
        <w:rPr>
          <w:rFonts w:cstheme="minorHAnsi"/>
        </w:rPr>
        <w:t xml:space="preserve"> AAD staff within the </w:t>
      </w:r>
      <w:r w:rsidRPr="0043166A">
        <w:rPr>
          <w:rFonts w:cstheme="minorHAnsi"/>
        </w:rPr>
        <w:t xml:space="preserve">education </w:t>
      </w:r>
      <w:r w:rsidR="00B3386A">
        <w:rPr>
          <w:rFonts w:cstheme="minorHAnsi"/>
        </w:rPr>
        <w:t xml:space="preserve">and marketing </w:t>
      </w:r>
      <w:r w:rsidRPr="0043166A">
        <w:rPr>
          <w:rFonts w:cstheme="minorHAnsi"/>
        </w:rPr>
        <w:t>department</w:t>
      </w:r>
      <w:r w:rsidR="00B3386A">
        <w:rPr>
          <w:rFonts w:cstheme="minorHAnsi"/>
        </w:rPr>
        <w:t>s</w:t>
      </w:r>
      <w:r>
        <w:rPr>
          <w:rFonts w:cstheme="minorHAnsi"/>
        </w:rPr>
        <w:t>, specifically:</w:t>
      </w:r>
    </w:p>
    <w:p w14:paraId="088DEA4B" w14:textId="06627439" w:rsidR="0043166A" w:rsidRPr="00D90E04" w:rsidRDefault="0043166A" w:rsidP="00D90E04">
      <w:pPr>
        <w:pStyle w:val="ListParagraph"/>
        <w:numPr>
          <w:ilvl w:val="0"/>
          <w:numId w:val="1"/>
        </w:numPr>
        <w:spacing w:after="0" w:line="240" w:lineRule="auto"/>
        <w:rPr>
          <w:rFonts w:cstheme="minorHAnsi"/>
        </w:rPr>
      </w:pPr>
      <w:r w:rsidRPr="00D90E04">
        <w:rPr>
          <w:rFonts w:cstheme="minorHAnsi"/>
        </w:rPr>
        <w:lastRenderedPageBreak/>
        <w:t>Reva Bhushan, MA, PhD, Senior Manager, Evidence-based Education and Clinical</w:t>
      </w:r>
    </w:p>
    <w:p w14:paraId="064F9CBE" w14:textId="77777777" w:rsidR="00D90E04" w:rsidRDefault="0043166A" w:rsidP="00B3386A">
      <w:pPr>
        <w:spacing w:after="0" w:line="240" w:lineRule="auto"/>
        <w:ind w:left="720"/>
        <w:rPr>
          <w:rFonts w:cstheme="minorHAnsi"/>
        </w:rPr>
      </w:pPr>
      <w:r w:rsidRPr="0043166A">
        <w:rPr>
          <w:rFonts w:cstheme="minorHAnsi"/>
        </w:rPr>
        <w:t>Best Practices at the AAD. Dr. Bhushan work</w:t>
      </w:r>
      <w:r w:rsidR="005020D7">
        <w:rPr>
          <w:rFonts w:cstheme="minorHAnsi"/>
        </w:rPr>
        <w:t>ed</w:t>
      </w:r>
      <w:r w:rsidRPr="0043166A">
        <w:rPr>
          <w:rFonts w:cstheme="minorHAnsi"/>
        </w:rPr>
        <w:t xml:space="preserve"> directly with</w:t>
      </w:r>
      <w:r w:rsidR="00C40BC9">
        <w:rPr>
          <w:rFonts w:cstheme="minorHAnsi"/>
        </w:rPr>
        <w:t xml:space="preserve"> </w:t>
      </w:r>
      <w:r w:rsidRPr="0043166A">
        <w:rPr>
          <w:rFonts w:cstheme="minorHAnsi"/>
        </w:rPr>
        <w:t>key staff to provide guidance and expertise based on her previous work. She also work</w:t>
      </w:r>
      <w:r w:rsidR="005020D7">
        <w:rPr>
          <w:rFonts w:cstheme="minorHAnsi"/>
        </w:rPr>
        <w:t>ed</w:t>
      </w:r>
      <w:r w:rsidR="00C40BC9">
        <w:rPr>
          <w:rFonts w:cstheme="minorHAnsi"/>
        </w:rPr>
        <w:t xml:space="preserve"> </w:t>
      </w:r>
      <w:r w:rsidRPr="0043166A">
        <w:rPr>
          <w:rFonts w:cstheme="minorHAnsi"/>
        </w:rPr>
        <w:t>directly with faculty members to develop content for the sessions and with champion psoriasis</w:t>
      </w:r>
      <w:r w:rsidR="00C40BC9">
        <w:rPr>
          <w:rFonts w:cstheme="minorHAnsi"/>
        </w:rPr>
        <w:t xml:space="preserve"> </w:t>
      </w:r>
      <w:r w:rsidRPr="0043166A">
        <w:rPr>
          <w:rFonts w:cstheme="minorHAnsi"/>
        </w:rPr>
        <w:t>experts to promote the program.</w:t>
      </w:r>
      <w:r w:rsidR="005020D7">
        <w:rPr>
          <w:rFonts w:cstheme="minorHAnsi"/>
        </w:rPr>
        <w:t xml:space="preserve"> Upon her departure, Damon Marquis,</w:t>
      </w:r>
      <w:r w:rsidR="005020D7" w:rsidRPr="005020D7">
        <w:rPr>
          <w:rFonts w:ascii="Calibri" w:hAnsi="Calibri" w:cs="Calibri"/>
        </w:rPr>
        <w:t xml:space="preserve"> </w:t>
      </w:r>
      <w:r w:rsidR="005020D7" w:rsidRPr="005020D7">
        <w:rPr>
          <w:rFonts w:cstheme="minorHAnsi"/>
        </w:rPr>
        <w:t>MA, MS, FACEHP</w:t>
      </w:r>
      <w:r w:rsidR="00C40BC9">
        <w:rPr>
          <w:rFonts w:cstheme="minorHAnsi"/>
        </w:rPr>
        <w:t xml:space="preserve">, AAD </w:t>
      </w:r>
      <w:r w:rsidR="005020D7" w:rsidRPr="005020D7">
        <w:rPr>
          <w:rFonts w:cstheme="minorHAnsi"/>
        </w:rPr>
        <w:t>Chief Learning Officer</w:t>
      </w:r>
      <w:r w:rsidR="005020D7">
        <w:rPr>
          <w:rFonts w:cstheme="minorHAnsi"/>
        </w:rPr>
        <w:t xml:space="preserve"> and Keri Thiessen, MEd, </w:t>
      </w:r>
      <w:r w:rsidR="00C40BC9">
        <w:rPr>
          <w:rFonts w:cstheme="minorHAnsi"/>
        </w:rPr>
        <w:t xml:space="preserve">AAD </w:t>
      </w:r>
      <w:r w:rsidR="005020D7">
        <w:rPr>
          <w:rFonts w:cstheme="minorHAnsi"/>
        </w:rPr>
        <w:t xml:space="preserve">Manager, Educational Needs Assessment and Development Manager, assumed Dr. Bhushan’s responsibilities to ensure a seamless completion of the grant. </w:t>
      </w:r>
    </w:p>
    <w:p w14:paraId="3C8564CD" w14:textId="6AD65E12" w:rsidR="00D90E04" w:rsidRDefault="0043166A" w:rsidP="0043166A">
      <w:pPr>
        <w:pStyle w:val="ListParagraph"/>
        <w:numPr>
          <w:ilvl w:val="0"/>
          <w:numId w:val="1"/>
        </w:numPr>
        <w:spacing w:after="0" w:line="240" w:lineRule="auto"/>
        <w:rPr>
          <w:rFonts w:cstheme="minorHAnsi"/>
        </w:rPr>
      </w:pPr>
      <w:r w:rsidRPr="00D90E04">
        <w:rPr>
          <w:rFonts w:cstheme="minorHAnsi"/>
        </w:rPr>
        <w:t xml:space="preserve">Jennifer Thompson, MS, </w:t>
      </w:r>
      <w:r w:rsidR="00475E50">
        <w:rPr>
          <w:rFonts w:cstheme="minorHAnsi"/>
        </w:rPr>
        <w:t xml:space="preserve">Associate Director, </w:t>
      </w:r>
      <w:r w:rsidRPr="00D90E04">
        <w:rPr>
          <w:rFonts w:cstheme="minorHAnsi"/>
        </w:rPr>
        <w:t>Live Education, overs</w:t>
      </w:r>
      <w:r w:rsidR="00F37F3E" w:rsidRPr="00D90E04">
        <w:rPr>
          <w:rFonts w:cstheme="minorHAnsi"/>
        </w:rPr>
        <w:t>aw the</w:t>
      </w:r>
      <w:r w:rsidRPr="00D90E04">
        <w:rPr>
          <w:rFonts w:cstheme="minorHAnsi"/>
        </w:rPr>
        <w:t xml:space="preserve"> live </w:t>
      </w:r>
      <w:r w:rsidR="0007360C">
        <w:rPr>
          <w:rFonts w:cstheme="minorHAnsi"/>
        </w:rPr>
        <w:t>workshop</w:t>
      </w:r>
      <w:r w:rsidR="00C40BC9" w:rsidRPr="00D90E04">
        <w:rPr>
          <w:rFonts w:cstheme="minorHAnsi"/>
        </w:rPr>
        <w:t xml:space="preserve"> </w:t>
      </w:r>
      <w:r w:rsidRPr="00D90E04">
        <w:rPr>
          <w:rFonts w:cstheme="minorHAnsi"/>
        </w:rPr>
        <w:t xml:space="preserve">programming and resources. </w:t>
      </w:r>
    </w:p>
    <w:p w14:paraId="2BF74C1B" w14:textId="08C79DEC" w:rsidR="00D90E04" w:rsidRDefault="0043166A" w:rsidP="0043166A">
      <w:pPr>
        <w:pStyle w:val="ListParagraph"/>
        <w:numPr>
          <w:ilvl w:val="0"/>
          <w:numId w:val="1"/>
        </w:numPr>
        <w:spacing w:after="0" w:line="240" w:lineRule="auto"/>
        <w:rPr>
          <w:rFonts w:cstheme="minorHAnsi"/>
        </w:rPr>
      </w:pPr>
      <w:r w:rsidRPr="00D90E04">
        <w:rPr>
          <w:rFonts w:cstheme="minorHAnsi"/>
        </w:rPr>
        <w:t xml:space="preserve">Chris Presta, </w:t>
      </w:r>
      <w:r w:rsidR="00475E50">
        <w:rPr>
          <w:rFonts w:cstheme="minorHAnsi"/>
        </w:rPr>
        <w:t>Associate Director, Digital Learning</w:t>
      </w:r>
      <w:r w:rsidRPr="00D90E04">
        <w:rPr>
          <w:rFonts w:cstheme="minorHAnsi"/>
        </w:rPr>
        <w:t xml:space="preserve">, </w:t>
      </w:r>
      <w:r w:rsidR="00F37F3E" w:rsidRPr="00D90E04">
        <w:rPr>
          <w:rFonts w:cstheme="minorHAnsi"/>
        </w:rPr>
        <w:t xml:space="preserve">served as </w:t>
      </w:r>
      <w:r w:rsidRPr="00D90E04">
        <w:rPr>
          <w:rFonts w:cstheme="minorHAnsi"/>
        </w:rPr>
        <w:t>liais</w:t>
      </w:r>
      <w:r w:rsidR="00F37F3E" w:rsidRPr="00D90E04">
        <w:rPr>
          <w:rFonts w:cstheme="minorHAnsi"/>
        </w:rPr>
        <w:t>on</w:t>
      </w:r>
      <w:r w:rsidRPr="00D90E04">
        <w:rPr>
          <w:rFonts w:cstheme="minorHAnsi"/>
        </w:rPr>
        <w:t xml:space="preserve"> with </w:t>
      </w:r>
      <w:r w:rsidR="00F37F3E" w:rsidRPr="00D90E04">
        <w:rPr>
          <w:rFonts w:cstheme="minorHAnsi"/>
        </w:rPr>
        <w:t xml:space="preserve">our partner, The France Foundation, to </w:t>
      </w:r>
      <w:r w:rsidRPr="00D90E04">
        <w:rPr>
          <w:rFonts w:cstheme="minorHAnsi"/>
        </w:rPr>
        <w:t xml:space="preserve">oversee production of enduring materials. </w:t>
      </w:r>
    </w:p>
    <w:p w14:paraId="5E85E153" w14:textId="77777777" w:rsidR="00D90E04" w:rsidRDefault="0043166A" w:rsidP="0043166A">
      <w:pPr>
        <w:pStyle w:val="ListParagraph"/>
        <w:numPr>
          <w:ilvl w:val="0"/>
          <w:numId w:val="1"/>
        </w:numPr>
        <w:spacing w:after="0" w:line="240" w:lineRule="auto"/>
        <w:rPr>
          <w:rFonts w:cstheme="minorHAnsi"/>
        </w:rPr>
      </w:pPr>
      <w:r w:rsidRPr="00D90E04">
        <w:rPr>
          <w:rFonts w:cstheme="minorHAnsi"/>
        </w:rPr>
        <w:t>Tammi Matillano, Specialist, Live Education, manage</w:t>
      </w:r>
      <w:r w:rsidR="00F37F3E" w:rsidRPr="00D90E04">
        <w:rPr>
          <w:rFonts w:cstheme="minorHAnsi"/>
        </w:rPr>
        <w:t>d</w:t>
      </w:r>
      <w:r w:rsidRPr="00D90E04">
        <w:rPr>
          <w:rFonts w:cstheme="minorHAnsi"/>
        </w:rPr>
        <w:t xml:space="preserve"> the recruitment and</w:t>
      </w:r>
      <w:r w:rsidR="00F37F3E" w:rsidRPr="00D90E04">
        <w:rPr>
          <w:rFonts w:cstheme="minorHAnsi"/>
        </w:rPr>
        <w:t xml:space="preserve"> </w:t>
      </w:r>
      <w:r w:rsidRPr="00D90E04">
        <w:rPr>
          <w:rFonts w:cstheme="minorHAnsi"/>
        </w:rPr>
        <w:t>participation of patients</w:t>
      </w:r>
      <w:r w:rsidR="00D90E04" w:rsidRPr="00D90E04">
        <w:rPr>
          <w:rFonts w:cstheme="minorHAnsi"/>
        </w:rPr>
        <w:t xml:space="preserve"> </w:t>
      </w:r>
      <w:r w:rsidRPr="00D90E04">
        <w:rPr>
          <w:rFonts w:cstheme="minorHAnsi"/>
        </w:rPr>
        <w:t>as well as the internal collaborations associated with planning the</w:t>
      </w:r>
      <w:r w:rsidR="00F37F3E" w:rsidRPr="00D90E04">
        <w:rPr>
          <w:rFonts w:cstheme="minorHAnsi"/>
        </w:rPr>
        <w:t xml:space="preserve"> </w:t>
      </w:r>
      <w:r w:rsidRPr="00D90E04">
        <w:rPr>
          <w:rFonts w:cstheme="minorHAnsi"/>
        </w:rPr>
        <w:t xml:space="preserve">workshops. </w:t>
      </w:r>
    </w:p>
    <w:p w14:paraId="4B01575E" w14:textId="008C5823" w:rsidR="00996548" w:rsidRPr="00996548" w:rsidRDefault="00996548" w:rsidP="00996548">
      <w:pPr>
        <w:pStyle w:val="ListParagraph"/>
        <w:numPr>
          <w:ilvl w:val="0"/>
          <w:numId w:val="1"/>
        </w:numPr>
        <w:rPr>
          <w:rFonts w:cstheme="minorHAnsi"/>
        </w:rPr>
      </w:pPr>
      <w:r w:rsidRPr="00996548">
        <w:rPr>
          <w:rFonts w:cstheme="minorHAnsi"/>
        </w:rPr>
        <w:t>Nicole Torling</w:t>
      </w:r>
      <w:r w:rsidR="00E71088">
        <w:rPr>
          <w:rFonts w:cstheme="minorHAnsi"/>
        </w:rPr>
        <w:t xml:space="preserve">, </w:t>
      </w:r>
      <w:r w:rsidRPr="00996548">
        <w:rPr>
          <w:rFonts w:cstheme="minorHAnsi"/>
        </w:rPr>
        <w:t>lead designer</w:t>
      </w:r>
      <w:r w:rsidR="00E71088">
        <w:rPr>
          <w:rFonts w:cstheme="minorHAnsi"/>
        </w:rPr>
        <w:t xml:space="preserve">, </w:t>
      </w:r>
      <w:r>
        <w:rPr>
          <w:rFonts w:cstheme="minorHAnsi"/>
        </w:rPr>
        <w:t>a</w:t>
      </w:r>
      <w:r w:rsidRPr="00996548">
        <w:rPr>
          <w:rFonts w:cstheme="minorHAnsi"/>
        </w:rPr>
        <w:t>ssist</w:t>
      </w:r>
      <w:r>
        <w:rPr>
          <w:rFonts w:cstheme="minorHAnsi"/>
        </w:rPr>
        <w:t>ed</w:t>
      </w:r>
      <w:r w:rsidRPr="00996548">
        <w:rPr>
          <w:rFonts w:cstheme="minorHAnsi"/>
        </w:rPr>
        <w:t xml:space="preserve"> in the design and formatting of the</w:t>
      </w:r>
    </w:p>
    <w:p w14:paraId="0D819050" w14:textId="25CE277C" w:rsidR="00996548" w:rsidRPr="00996548" w:rsidRDefault="00996548" w:rsidP="00996548">
      <w:pPr>
        <w:pStyle w:val="ListParagraph"/>
        <w:rPr>
          <w:rFonts w:cstheme="minorHAnsi"/>
        </w:rPr>
      </w:pPr>
      <w:r w:rsidRPr="00996548">
        <w:rPr>
          <w:rFonts w:cstheme="minorHAnsi"/>
        </w:rPr>
        <w:t>graphical tactics for implementation resources and marketing campaigns. She also</w:t>
      </w:r>
    </w:p>
    <w:p w14:paraId="3E89F466" w14:textId="70CD96BC" w:rsidR="00996548" w:rsidRPr="00996548" w:rsidRDefault="00996548" w:rsidP="00996548">
      <w:pPr>
        <w:pStyle w:val="ListParagraph"/>
        <w:rPr>
          <w:rFonts w:cstheme="minorHAnsi"/>
        </w:rPr>
      </w:pPr>
      <w:r w:rsidRPr="00996548">
        <w:rPr>
          <w:rFonts w:cstheme="minorHAnsi"/>
        </w:rPr>
        <w:t>coordinate</w:t>
      </w:r>
      <w:r>
        <w:rPr>
          <w:rFonts w:cstheme="minorHAnsi"/>
        </w:rPr>
        <w:t>d</w:t>
      </w:r>
      <w:r w:rsidRPr="00996548">
        <w:rPr>
          <w:rFonts w:cstheme="minorHAnsi"/>
        </w:rPr>
        <w:t xml:space="preserve"> with stakeholders and manage the printing and/or digital release of these materials.</w:t>
      </w:r>
    </w:p>
    <w:p w14:paraId="08BCE197" w14:textId="0CBCB742" w:rsidR="00D90E04" w:rsidRPr="002C1721" w:rsidRDefault="00996548" w:rsidP="0054222C">
      <w:pPr>
        <w:pStyle w:val="ListParagraph"/>
        <w:numPr>
          <w:ilvl w:val="0"/>
          <w:numId w:val="1"/>
        </w:numPr>
        <w:spacing w:after="0" w:line="240" w:lineRule="auto"/>
        <w:rPr>
          <w:rFonts w:cstheme="minorHAnsi"/>
        </w:rPr>
      </w:pPr>
      <w:r w:rsidRPr="00996548">
        <w:rPr>
          <w:rFonts w:cstheme="minorHAnsi"/>
        </w:rPr>
        <w:t>Patrick Tibble</w:t>
      </w:r>
      <w:r w:rsidR="0007360C">
        <w:rPr>
          <w:rFonts w:cstheme="minorHAnsi"/>
        </w:rPr>
        <w:t xml:space="preserve">, </w:t>
      </w:r>
      <w:r w:rsidRPr="00996548">
        <w:rPr>
          <w:rFonts w:cstheme="minorHAnsi"/>
        </w:rPr>
        <w:t>application developer</w:t>
      </w:r>
      <w:r w:rsidR="0007360C">
        <w:rPr>
          <w:rFonts w:cstheme="minorHAnsi"/>
        </w:rPr>
        <w:t xml:space="preserve">, </w:t>
      </w:r>
      <w:r w:rsidRPr="00996548">
        <w:rPr>
          <w:rFonts w:cstheme="minorHAnsi"/>
        </w:rPr>
        <w:t>design</w:t>
      </w:r>
      <w:r w:rsidR="002C1721" w:rsidRPr="002C1721">
        <w:rPr>
          <w:rFonts w:cstheme="minorHAnsi"/>
        </w:rPr>
        <w:t>ed</w:t>
      </w:r>
      <w:r w:rsidRPr="00996548">
        <w:rPr>
          <w:rFonts w:cstheme="minorHAnsi"/>
        </w:rPr>
        <w:t>, develop</w:t>
      </w:r>
      <w:r w:rsidR="002C1721" w:rsidRPr="002C1721">
        <w:rPr>
          <w:rFonts w:cstheme="minorHAnsi"/>
        </w:rPr>
        <w:t>ed</w:t>
      </w:r>
      <w:r w:rsidRPr="00996548">
        <w:rPr>
          <w:rFonts w:cstheme="minorHAnsi"/>
        </w:rPr>
        <w:t>, test</w:t>
      </w:r>
      <w:r w:rsidR="002C1721" w:rsidRPr="002C1721">
        <w:rPr>
          <w:rFonts w:cstheme="minorHAnsi"/>
        </w:rPr>
        <w:t>ed</w:t>
      </w:r>
      <w:r w:rsidRPr="00996548">
        <w:rPr>
          <w:rFonts w:cstheme="minorHAnsi"/>
        </w:rPr>
        <w:t>, implement</w:t>
      </w:r>
      <w:r w:rsidR="002C1721" w:rsidRPr="002C1721">
        <w:rPr>
          <w:rFonts w:cstheme="minorHAnsi"/>
        </w:rPr>
        <w:t>ed</w:t>
      </w:r>
      <w:r w:rsidRPr="00996548">
        <w:rPr>
          <w:rFonts w:cstheme="minorHAnsi"/>
        </w:rPr>
        <w:t>,</w:t>
      </w:r>
      <w:r w:rsidR="002C1721" w:rsidRPr="002C1721">
        <w:rPr>
          <w:rFonts w:cstheme="minorHAnsi"/>
        </w:rPr>
        <w:t xml:space="preserve"> </w:t>
      </w:r>
      <w:r w:rsidRPr="00996548">
        <w:rPr>
          <w:rFonts w:cstheme="minorHAnsi"/>
        </w:rPr>
        <w:t>and maintain</w:t>
      </w:r>
      <w:r w:rsidR="002C1721" w:rsidRPr="002C1721">
        <w:rPr>
          <w:rFonts w:cstheme="minorHAnsi"/>
        </w:rPr>
        <w:t>ed</w:t>
      </w:r>
      <w:r w:rsidRPr="00996548">
        <w:rPr>
          <w:rFonts w:cstheme="minorHAnsi"/>
        </w:rPr>
        <w:t xml:space="preserve"> reference or interactive apps upon request as determined by the expert psoriasis</w:t>
      </w:r>
      <w:r w:rsidR="002C1721" w:rsidRPr="002C1721">
        <w:rPr>
          <w:rFonts w:cstheme="minorHAnsi"/>
        </w:rPr>
        <w:t xml:space="preserve"> </w:t>
      </w:r>
      <w:r w:rsidRPr="002C1721">
        <w:rPr>
          <w:rFonts w:cstheme="minorHAnsi"/>
        </w:rPr>
        <w:t xml:space="preserve">and PsA faculty. </w:t>
      </w:r>
    </w:p>
    <w:p w14:paraId="5C35FBCE" w14:textId="39E2B42E" w:rsidR="00C40BC9" w:rsidRPr="00D90E04" w:rsidRDefault="00F37F3E" w:rsidP="00D90E04">
      <w:pPr>
        <w:spacing w:after="0" w:line="240" w:lineRule="auto"/>
        <w:rPr>
          <w:rFonts w:cstheme="minorHAnsi"/>
        </w:rPr>
      </w:pPr>
      <w:r w:rsidRPr="00D90E04">
        <w:rPr>
          <w:rFonts w:cstheme="minorHAnsi"/>
        </w:rPr>
        <w:t xml:space="preserve">AAD </w:t>
      </w:r>
      <w:r w:rsidR="001B0E06">
        <w:rPr>
          <w:rFonts w:cstheme="minorHAnsi"/>
        </w:rPr>
        <w:t>partnered with</w:t>
      </w:r>
      <w:r w:rsidRPr="00D90E04">
        <w:rPr>
          <w:rFonts w:cstheme="minorHAnsi"/>
        </w:rPr>
        <w:t xml:space="preserve"> </w:t>
      </w:r>
      <w:r w:rsidR="0043166A" w:rsidRPr="00D90E04">
        <w:rPr>
          <w:rFonts w:cstheme="minorHAnsi"/>
        </w:rPr>
        <w:t>T</w:t>
      </w:r>
      <w:r w:rsidRPr="00D90E04">
        <w:rPr>
          <w:rFonts w:cstheme="minorHAnsi"/>
        </w:rPr>
        <w:t xml:space="preserve">he France Foundation </w:t>
      </w:r>
      <w:r w:rsidR="00C40BC9" w:rsidRPr="00D90E04">
        <w:rPr>
          <w:rFonts w:cstheme="minorHAnsi"/>
        </w:rPr>
        <w:t>(TFF)</w:t>
      </w:r>
      <w:r w:rsidR="001B0E06">
        <w:rPr>
          <w:rFonts w:cstheme="minorHAnsi"/>
        </w:rPr>
        <w:t xml:space="preserve"> on this project.</w:t>
      </w:r>
      <w:r w:rsidR="00C40BC9" w:rsidRPr="00D90E04">
        <w:rPr>
          <w:rFonts w:cstheme="minorHAnsi"/>
        </w:rPr>
        <w:t xml:space="preserve"> </w:t>
      </w:r>
      <w:r w:rsidR="0043166A" w:rsidRPr="00D90E04">
        <w:rPr>
          <w:rFonts w:cstheme="minorHAnsi"/>
        </w:rPr>
        <w:t>TFF has been involved</w:t>
      </w:r>
      <w:r w:rsidR="00C40BC9" w:rsidRPr="00D90E04">
        <w:rPr>
          <w:rFonts w:cstheme="minorHAnsi"/>
        </w:rPr>
        <w:t xml:space="preserve"> </w:t>
      </w:r>
      <w:r w:rsidR="0043166A" w:rsidRPr="00D90E04">
        <w:rPr>
          <w:rFonts w:cstheme="minorHAnsi"/>
        </w:rPr>
        <w:t>in multiple collaborative initiatives with medical specialty societies and academic institutions in</w:t>
      </w:r>
      <w:r w:rsidR="00C40BC9" w:rsidRPr="00D90E04">
        <w:rPr>
          <w:rFonts w:cstheme="minorHAnsi"/>
        </w:rPr>
        <w:t xml:space="preserve"> </w:t>
      </w:r>
      <w:r w:rsidR="0043166A" w:rsidRPr="00D90E04">
        <w:rPr>
          <w:rFonts w:cstheme="minorHAnsi"/>
        </w:rPr>
        <w:t>traditional, quality improvement, and performance improvement focused projects.</w:t>
      </w:r>
      <w:r w:rsidR="00C40BC9" w:rsidRPr="00D90E04">
        <w:rPr>
          <w:rFonts w:cstheme="minorHAnsi"/>
        </w:rPr>
        <w:t xml:space="preserve"> The </w:t>
      </w:r>
      <w:r w:rsidR="00B3386A">
        <w:rPr>
          <w:rFonts w:cstheme="minorHAnsi"/>
        </w:rPr>
        <w:t xml:space="preserve">TTF </w:t>
      </w:r>
      <w:r w:rsidR="00C40BC9" w:rsidRPr="00D90E04">
        <w:rPr>
          <w:rFonts w:cstheme="minorHAnsi"/>
        </w:rPr>
        <w:t>team include</w:t>
      </w:r>
      <w:r w:rsidR="00B3386A">
        <w:rPr>
          <w:rFonts w:cstheme="minorHAnsi"/>
        </w:rPr>
        <w:t>d</w:t>
      </w:r>
      <w:r w:rsidR="00C40BC9" w:rsidRPr="00D90E04">
        <w:rPr>
          <w:rFonts w:cstheme="minorHAnsi"/>
        </w:rPr>
        <w:t>:</w:t>
      </w:r>
    </w:p>
    <w:p w14:paraId="13586816" w14:textId="77777777" w:rsidR="00D90E04" w:rsidRDefault="0043166A" w:rsidP="00C40BC9">
      <w:pPr>
        <w:pStyle w:val="ListParagraph"/>
        <w:numPr>
          <w:ilvl w:val="0"/>
          <w:numId w:val="2"/>
        </w:numPr>
        <w:spacing w:after="0" w:line="240" w:lineRule="auto"/>
        <w:rPr>
          <w:rFonts w:cstheme="minorHAnsi"/>
        </w:rPr>
      </w:pPr>
      <w:r w:rsidRPr="00D90E04">
        <w:rPr>
          <w:rFonts w:cstheme="minorHAnsi"/>
        </w:rPr>
        <w:t xml:space="preserve">Daniel Rabin, PhD, Content Medical Director, </w:t>
      </w:r>
      <w:proofErr w:type="gramStart"/>
      <w:r w:rsidRPr="00D90E04">
        <w:rPr>
          <w:rFonts w:cstheme="minorHAnsi"/>
        </w:rPr>
        <w:t>provide</w:t>
      </w:r>
      <w:r w:rsidR="00C40BC9" w:rsidRPr="00D90E04">
        <w:rPr>
          <w:rFonts w:cstheme="minorHAnsi"/>
        </w:rPr>
        <w:t>d</w:t>
      </w:r>
      <w:r w:rsidRPr="00D90E04">
        <w:rPr>
          <w:rFonts w:cstheme="minorHAnsi"/>
        </w:rPr>
        <w:t xml:space="preserve"> assistance</w:t>
      </w:r>
      <w:proofErr w:type="gramEnd"/>
      <w:r w:rsidRPr="00D90E04">
        <w:rPr>
          <w:rFonts w:cstheme="minorHAnsi"/>
        </w:rPr>
        <w:t xml:space="preserve"> with content</w:t>
      </w:r>
      <w:r w:rsidR="00C40BC9" w:rsidRPr="00D90E04">
        <w:rPr>
          <w:rFonts w:cstheme="minorHAnsi"/>
        </w:rPr>
        <w:t xml:space="preserve"> </w:t>
      </w:r>
      <w:r w:rsidRPr="00D90E04">
        <w:rPr>
          <w:rFonts w:cstheme="minorHAnsi"/>
        </w:rPr>
        <w:t>development, faculty engagement, development of surveys</w:t>
      </w:r>
      <w:r w:rsidR="00C40BC9" w:rsidRPr="00D90E04">
        <w:rPr>
          <w:rFonts w:cstheme="minorHAnsi"/>
        </w:rPr>
        <w:t xml:space="preserve"> and</w:t>
      </w:r>
      <w:r w:rsidRPr="00D90E04">
        <w:rPr>
          <w:rFonts w:cstheme="minorHAnsi"/>
        </w:rPr>
        <w:t xml:space="preserve"> clinician tools, medical editing and fact checking.</w:t>
      </w:r>
    </w:p>
    <w:p w14:paraId="4BDD65F1" w14:textId="77777777" w:rsidR="00D90E04" w:rsidRDefault="0043166A" w:rsidP="0043166A">
      <w:pPr>
        <w:pStyle w:val="ListParagraph"/>
        <w:numPr>
          <w:ilvl w:val="0"/>
          <w:numId w:val="2"/>
        </w:numPr>
        <w:spacing w:after="0" w:line="240" w:lineRule="auto"/>
        <w:rPr>
          <w:rFonts w:cstheme="minorHAnsi"/>
        </w:rPr>
      </w:pPr>
      <w:r w:rsidRPr="00D90E04">
        <w:rPr>
          <w:rFonts w:cstheme="minorHAnsi"/>
        </w:rPr>
        <w:t>Heather Tarbox, Director of Education and Operations, provide</w:t>
      </w:r>
      <w:r w:rsidR="00C40BC9" w:rsidRPr="00D90E04">
        <w:rPr>
          <w:rFonts w:cstheme="minorHAnsi"/>
        </w:rPr>
        <w:t>d</w:t>
      </w:r>
      <w:r w:rsidRPr="00D90E04">
        <w:rPr>
          <w:rFonts w:cstheme="minorHAnsi"/>
        </w:rPr>
        <w:t xml:space="preserve"> overall</w:t>
      </w:r>
      <w:r w:rsidR="00C40BC9" w:rsidRPr="00D90E04">
        <w:rPr>
          <w:rFonts w:cstheme="minorHAnsi"/>
        </w:rPr>
        <w:t xml:space="preserve"> </w:t>
      </w:r>
      <w:r w:rsidRPr="00D90E04">
        <w:rPr>
          <w:rFonts w:cstheme="minorHAnsi"/>
        </w:rPr>
        <w:t>program management including adherence to timelines, faculty management, and CME</w:t>
      </w:r>
      <w:r w:rsidR="00C40BC9" w:rsidRPr="00D90E04">
        <w:rPr>
          <w:rFonts w:cstheme="minorHAnsi"/>
        </w:rPr>
        <w:t xml:space="preserve"> </w:t>
      </w:r>
      <w:r w:rsidRPr="00D90E04">
        <w:rPr>
          <w:rFonts w:cstheme="minorHAnsi"/>
        </w:rPr>
        <w:t xml:space="preserve">programs execution. </w:t>
      </w:r>
    </w:p>
    <w:p w14:paraId="10B06736" w14:textId="77777777" w:rsidR="00D90E04" w:rsidRDefault="0043166A" w:rsidP="00B21C7F">
      <w:pPr>
        <w:pStyle w:val="ListParagraph"/>
        <w:numPr>
          <w:ilvl w:val="0"/>
          <w:numId w:val="2"/>
        </w:numPr>
        <w:spacing w:after="0" w:line="240" w:lineRule="auto"/>
        <w:rPr>
          <w:rFonts w:cstheme="minorHAnsi"/>
        </w:rPr>
      </w:pPr>
      <w:r w:rsidRPr="00D90E04">
        <w:rPr>
          <w:rFonts w:cstheme="minorHAnsi"/>
        </w:rPr>
        <w:t>Theodore Bruno, MD, Chief Medical Officer, provide</w:t>
      </w:r>
      <w:r w:rsidR="00C40BC9" w:rsidRPr="00D90E04">
        <w:rPr>
          <w:rFonts w:cstheme="minorHAnsi"/>
        </w:rPr>
        <w:t>d</w:t>
      </w:r>
      <w:r w:rsidRPr="00D90E04">
        <w:rPr>
          <w:rFonts w:cstheme="minorHAnsi"/>
        </w:rPr>
        <w:t xml:space="preserve"> executive oversight of</w:t>
      </w:r>
      <w:r w:rsidR="00C40BC9" w:rsidRPr="00D90E04">
        <w:rPr>
          <w:rFonts w:cstheme="minorHAnsi"/>
        </w:rPr>
        <w:t xml:space="preserve"> </w:t>
      </w:r>
      <w:r w:rsidRPr="00D90E04">
        <w:rPr>
          <w:rFonts w:cstheme="minorHAnsi"/>
        </w:rPr>
        <w:t xml:space="preserve">TFF staff and product development. </w:t>
      </w:r>
    </w:p>
    <w:p w14:paraId="0F2F7D95" w14:textId="694ED78F" w:rsidR="0043166A" w:rsidRPr="00D90E04" w:rsidRDefault="0043166A" w:rsidP="00B21C7F">
      <w:pPr>
        <w:pStyle w:val="ListParagraph"/>
        <w:numPr>
          <w:ilvl w:val="0"/>
          <w:numId w:val="2"/>
        </w:numPr>
        <w:spacing w:after="0" w:line="240" w:lineRule="auto"/>
        <w:rPr>
          <w:rFonts w:cstheme="minorHAnsi"/>
        </w:rPr>
      </w:pPr>
      <w:r w:rsidRPr="00D90E04">
        <w:rPr>
          <w:rFonts w:cstheme="minorHAnsi"/>
        </w:rPr>
        <w:t>Matthew Pereira, Senior Interactive Project Manager, provide</w:t>
      </w:r>
      <w:r w:rsidR="00C40BC9" w:rsidRPr="00D90E04">
        <w:rPr>
          <w:rFonts w:cstheme="minorHAnsi"/>
        </w:rPr>
        <w:t>d</w:t>
      </w:r>
      <w:r w:rsidRPr="00D90E04">
        <w:rPr>
          <w:rFonts w:cstheme="minorHAnsi"/>
        </w:rPr>
        <w:t xml:space="preserve"> interactive</w:t>
      </w:r>
      <w:r w:rsidR="00C40BC9" w:rsidRPr="00D90E04">
        <w:rPr>
          <w:rFonts w:cstheme="minorHAnsi"/>
        </w:rPr>
        <w:t xml:space="preserve"> </w:t>
      </w:r>
      <w:r w:rsidRPr="00D90E04">
        <w:rPr>
          <w:rFonts w:cstheme="minorHAnsi"/>
        </w:rPr>
        <w:t>development services including the programming of the online portals, production/editing</w:t>
      </w:r>
      <w:r w:rsidR="00C40BC9" w:rsidRPr="00D90E04">
        <w:rPr>
          <w:rFonts w:cstheme="minorHAnsi"/>
        </w:rPr>
        <w:t xml:space="preserve"> </w:t>
      </w:r>
      <w:r w:rsidRPr="00D90E04">
        <w:rPr>
          <w:rFonts w:cstheme="minorHAnsi"/>
        </w:rPr>
        <w:t xml:space="preserve">/syncing videos, web design, and tracking online analytics. </w:t>
      </w:r>
    </w:p>
    <w:p w14:paraId="395B3E33" w14:textId="37EC4542" w:rsidR="00D90E04" w:rsidRDefault="00D90E04" w:rsidP="0043166A">
      <w:pPr>
        <w:spacing w:after="0" w:line="240" w:lineRule="auto"/>
        <w:rPr>
          <w:rFonts w:cstheme="minorHAnsi"/>
        </w:rPr>
      </w:pPr>
      <w:r>
        <w:rPr>
          <w:rFonts w:cstheme="minorHAnsi"/>
        </w:rPr>
        <w:t xml:space="preserve">Psoriasis experts and </w:t>
      </w:r>
      <w:r w:rsidR="00500103">
        <w:rPr>
          <w:rFonts w:cstheme="minorHAnsi"/>
        </w:rPr>
        <w:t>faculty</w:t>
      </w:r>
      <w:r>
        <w:rPr>
          <w:rFonts w:cstheme="minorHAnsi"/>
        </w:rPr>
        <w:t xml:space="preserve"> for the educational intervention</w:t>
      </w:r>
      <w:r w:rsidR="00500103">
        <w:rPr>
          <w:rFonts w:cstheme="minorHAnsi"/>
        </w:rPr>
        <w:t xml:space="preserve"> include</w:t>
      </w:r>
      <w:r w:rsidR="00B3386A">
        <w:rPr>
          <w:rFonts w:cstheme="minorHAnsi"/>
        </w:rPr>
        <w:t>d</w:t>
      </w:r>
      <w:r w:rsidR="00500103">
        <w:rPr>
          <w:rFonts w:cstheme="minorHAnsi"/>
        </w:rPr>
        <w:t>:</w:t>
      </w:r>
    </w:p>
    <w:p w14:paraId="2BF173E7" w14:textId="79131E49" w:rsidR="0043166A" w:rsidRPr="00D90E04" w:rsidRDefault="0043166A" w:rsidP="00D90E04">
      <w:pPr>
        <w:pStyle w:val="ListParagraph"/>
        <w:numPr>
          <w:ilvl w:val="0"/>
          <w:numId w:val="3"/>
        </w:numPr>
        <w:spacing w:after="0" w:line="240" w:lineRule="auto"/>
        <w:rPr>
          <w:rFonts w:cstheme="minorHAnsi"/>
        </w:rPr>
      </w:pPr>
      <w:r w:rsidRPr="00D90E04">
        <w:rPr>
          <w:rFonts w:cstheme="minorHAnsi"/>
        </w:rPr>
        <w:t>Alice Gottlieb, MD, PhD, FAAD, Chair, Derm-in-Chief, Harvey B Ansell Professor of Dermatology,</w:t>
      </w:r>
    </w:p>
    <w:p w14:paraId="68F8364A" w14:textId="12651804" w:rsidR="0043166A" w:rsidRPr="0043166A" w:rsidRDefault="0043166A" w:rsidP="00D90E04">
      <w:pPr>
        <w:spacing w:after="0" w:line="240" w:lineRule="auto"/>
        <w:ind w:left="720"/>
        <w:rPr>
          <w:rFonts w:cstheme="minorHAnsi"/>
        </w:rPr>
      </w:pPr>
      <w:r w:rsidRPr="0043166A">
        <w:rPr>
          <w:rFonts w:cstheme="minorHAnsi"/>
        </w:rPr>
        <w:t>Tufts Medical Center, serve</w:t>
      </w:r>
      <w:r w:rsidR="00D90E04">
        <w:rPr>
          <w:rFonts w:cstheme="minorHAnsi"/>
        </w:rPr>
        <w:t>d</w:t>
      </w:r>
      <w:r w:rsidRPr="0043166A">
        <w:rPr>
          <w:rFonts w:cstheme="minorHAnsi"/>
        </w:rPr>
        <w:t xml:space="preserve"> as the faculty lead for this project. Dr. Gottlieb is an</w:t>
      </w:r>
    </w:p>
    <w:p w14:paraId="154798C4" w14:textId="77777777" w:rsidR="0043166A" w:rsidRPr="0043166A" w:rsidRDefault="0043166A" w:rsidP="00D90E04">
      <w:pPr>
        <w:spacing w:after="0" w:line="240" w:lineRule="auto"/>
        <w:ind w:left="720"/>
        <w:rPr>
          <w:rFonts w:cstheme="minorHAnsi"/>
        </w:rPr>
      </w:pPr>
      <w:r w:rsidRPr="0043166A">
        <w:rPr>
          <w:rFonts w:cstheme="minorHAnsi"/>
        </w:rPr>
        <w:t>internationally-recognized physician who is board certified in dermatology, rheumatology, and</w:t>
      </w:r>
    </w:p>
    <w:p w14:paraId="76BC4F8C" w14:textId="77777777" w:rsidR="0043166A" w:rsidRPr="0043166A" w:rsidRDefault="0043166A" w:rsidP="00D90E04">
      <w:pPr>
        <w:spacing w:after="0" w:line="240" w:lineRule="auto"/>
        <w:ind w:left="720"/>
        <w:rPr>
          <w:rFonts w:cstheme="minorHAnsi"/>
        </w:rPr>
      </w:pPr>
      <w:r w:rsidRPr="0043166A">
        <w:rPr>
          <w:rFonts w:cstheme="minorHAnsi"/>
        </w:rPr>
        <w:t>internal medicine. She is an expert in psoriasis and treatment with target immunotherapies and</w:t>
      </w:r>
    </w:p>
    <w:p w14:paraId="31449E7A" w14:textId="77777777" w:rsidR="0043166A" w:rsidRPr="0043166A" w:rsidRDefault="0043166A" w:rsidP="00D90E04">
      <w:pPr>
        <w:spacing w:after="0" w:line="240" w:lineRule="auto"/>
        <w:ind w:left="720"/>
        <w:rPr>
          <w:rFonts w:cstheme="minorHAnsi"/>
        </w:rPr>
      </w:pPr>
      <w:r w:rsidRPr="0043166A">
        <w:rPr>
          <w:rFonts w:cstheme="minorHAnsi"/>
        </w:rPr>
        <w:t>has experience in diagnosing and managing patients with psoriasis, PsA, and other</w:t>
      </w:r>
    </w:p>
    <w:p w14:paraId="30808876" w14:textId="7530CF69" w:rsidR="0043166A" w:rsidRPr="0043166A" w:rsidRDefault="0043166A" w:rsidP="00D90E04">
      <w:pPr>
        <w:spacing w:after="0" w:line="240" w:lineRule="auto"/>
        <w:ind w:left="720"/>
        <w:rPr>
          <w:rFonts w:cstheme="minorHAnsi"/>
        </w:rPr>
      </w:pPr>
      <w:r w:rsidRPr="0043166A">
        <w:rPr>
          <w:rFonts w:cstheme="minorHAnsi"/>
        </w:rPr>
        <w:t>inflammatory skin disorders. For this project, she overs</w:t>
      </w:r>
      <w:r w:rsidR="00D90E04">
        <w:rPr>
          <w:rFonts w:cstheme="minorHAnsi"/>
        </w:rPr>
        <w:t>aw</w:t>
      </w:r>
      <w:r w:rsidRPr="0043166A">
        <w:rPr>
          <w:rFonts w:cstheme="minorHAnsi"/>
        </w:rPr>
        <w:t xml:space="preserve"> content development, direct</w:t>
      </w:r>
      <w:r w:rsidR="00D90E04">
        <w:rPr>
          <w:rFonts w:cstheme="minorHAnsi"/>
        </w:rPr>
        <w:t>ed</w:t>
      </w:r>
      <w:r w:rsidRPr="0043166A">
        <w:rPr>
          <w:rFonts w:cstheme="minorHAnsi"/>
        </w:rPr>
        <w:t xml:space="preserve"> the</w:t>
      </w:r>
    </w:p>
    <w:p w14:paraId="4DFFDE0C" w14:textId="5E055569" w:rsidR="0043166A" w:rsidRPr="0043166A" w:rsidRDefault="0043166A" w:rsidP="00D90E04">
      <w:pPr>
        <w:spacing w:after="0" w:line="240" w:lineRule="auto"/>
        <w:ind w:left="720"/>
        <w:rPr>
          <w:rFonts w:cstheme="minorHAnsi"/>
        </w:rPr>
      </w:pPr>
      <w:r w:rsidRPr="0043166A">
        <w:rPr>
          <w:rFonts w:cstheme="minorHAnsi"/>
        </w:rPr>
        <w:t>workshops, and identif</w:t>
      </w:r>
      <w:r w:rsidR="00D90E04">
        <w:rPr>
          <w:rFonts w:cstheme="minorHAnsi"/>
        </w:rPr>
        <w:t>ied</w:t>
      </w:r>
      <w:r w:rsidRPr="0043166A">
        <w:rPr>
          <w:rFonts w:cstheme="minorHAnsi"/>
        </w:rPr>
        <w:t xml:space="preserve"> patients for the interactive patient assessment demonstrations.</w:t>
      </w:r>
    </w:p>
    <w:p w14:paraId="6BF661A0" w14:textId="600607AD" w:rsidR="0043166A" w:rsidRPr="0043166A" w:rsidRDefault="0043166A" w:rsidP="0043166A">
      <w:pPr>
        <w:spacing w:after="0" w:line="240" w:lineRule="auto"/>
        <w:rPr>
          <w:rFonts w:cstheme="minorHAnsi"/>
        </w:rPr>
      </w:pPr>
      <w:r w:rsidRPr="0043166A">
        <w:rPr>
          <w:rFonts w:cstheme="minorHAnsi"/>
        </w:rPr>
        <w:t>Other expert psoriasis and PsA faculty include</w:t>
      </w:r>
      <w:r w:rsidR="00D90E04">
        <w:rPr>
          <w:rFonts w:cstheme="minorHAnsi"/>
        </w:rPr>
        <w:t>d</w:t>
      </w:r>
      <w:r w:rsidRPr="0043166A">
        <w:rPr>
          <w:rFonts w:cstheme="minorHAnsi"/>
        </w:rPr>
        <w:t>:</w:t>
      </w:r>
    </w:p>
    <w:p w14:paraId="660C2D36" w14:textId="63F6726A" w:rsidR="0043166A" w:rsidRPr="007B5BA7" w:rsidRDefault="0043166A" w:rsidP="007B5BA7">
      <w:pPr>
        <w:pStyle w:val="ListParagraph"/>
        <w:numPr>
          <w:ilvl w:val="0"/>
          <w:numId w:val="3"/>
        </w:numPr>
        <w:spacing w:after="0" w:line="240" w:lineRule="auto"/>
        <w:rPr>
          <w:rFonts w:cstheme="minorHAnsi"/>
        </w:rPr>
      </w:pPr>
      <w:r w:rsidRPr="007B5BA7">
        <w:rPr>
          <w:rFonts w:cstheme="minorHAnsi"/>
        </w:rPr>
        <w:t>Joseph F. Merola, MD, MSc, FAAD, Instructor, Harvard Medical School, Brigham and</w:t>
      </w:r>
    </w:p>
    <w:p w14:paraId="2D00C59C" w14:textId="77777777" w:rsidR="007B5BA7" w:rsidRDefault="0043166A" w:rsidP="007B5BA7">
      <w:pPr>
        <w:spacing w:after="0" w:line="240" w:lineRule="auto"/>
        <w:ind w:left="720"/>
        <w:rPr>
          <w:rFonts w:cstheme="minorHAnsi"/>
        </w:rPr>
      </w:pPr>
      <w:r w:rsidRPr="0043166A">
        <w:rPr>
          <w:rFonts w:cstheme="minorHAnsi"/>
        </w:rPr>
        <w:t>Women’s Hospital</w:t>
      </w:r>
      <w:r w:rsidR="00D90E04">
        <w:rPr>
          <w:rFonts w:cstheme="minorHAnsi"/>
        </w:rPr>
        <w:t>.</w:t>
      </w:r>
    </w:p>
    <w:p w14:paraId="3ECF2A96" w14:textId="3DA2E38F" w:rsidR="0043166A" w:rsidRPr="007B5BA7" w:rsidRDefault="0043166A" w:rsidP="007B5BA7">
      <w:pPr>
        <w:pStyle w:val="ListParagraph"/>
        <w:numPr>
          <w:ilvl w:val="0"/>
          <w:numId w:val="3"/>
        </w:numPr>
        <w:spacing w:after="0" w:line="240" w:lineRule="auto"/>
        <w:rPr>
          <w:rFonts w:cstheme="minorHAnsi"/>
        </w:rPr>
      </w:pPr>
      <w:r w:rsidRPr="007B5BA7">
        <w:rPr>
          <w:rFonts w:cstheme="minorHAnsi"/>
        </w:rPr>
        <w:t>Neil Korman, MD, PhD, FAAD, Professor, Department of Dermatology, Case Western</w:t>
      </w:r>
    </w:p>
    <w:p w14:paraId="2CA1A505" w14:textId="0CE2C34A" w:rsidR="0043166A" w:rsidRPr="0043166A" w:rsidRDefault="007B5BA7" w:rsidP="0043166A">
      <w:pPr>
        <w:spacing w:after="0" w:line="240" w:lineRule="auto"/>
        <w:rPr>
          <w:rFonts w:cstheme="minorHAnsi"/>
        </w:rPr>
      </w:pPr>
      <w:r>
        <w:rPr>
          <w:rFonts w:cstheme="minorHAnsi"/>
        </w:rPr>
        <w:t xml:space="preserve">              </w:t>
      </w:r>
      <w:r w:rsidR="0043166A" w:rsidRPr="0043166A">
        <w:rPr>
          <w:rFonts w:cstheme="minorHAnsi"/>
        </w:rPr>
        <w:t>Reserve University, is a psoriasis expert with a background in basic, clinical, and</w:t>
      </w:r>
    </w:p>
    <w:p w14:paraId="78009082" w14:textId="4DF6ED97" w:rsidR="007B5BA7" w:rsidRDefault="007B5BA7" w:rsidP="0043166A">
      <w:pPr>
        <w:spacing w:after="0" w:line="240" w:lineRule="auto"/>
        <w:rPr>
          <w:rFonts w:cstheme="minorHAnsi"/>
        </w:rPr>
      </w:pPr>
      <w:r>
        <w:rPr>
          <w:rFonts w:cstheme="minorHAnsi"/>
        </w:rPr>
        <w:t xml:space="preserve">              </w:t>
      </w:r>
      <w:r w:rsidR="0043166A" w:rsidRPr="0043166A">
        <w:rPr>
          <w:rFonts w:cstheme="minorHAnsi"/>
        </w:rPr>
        <w:t>translational research.</w:t>
      </w:r>
    </w:p>
    <w:p w14:paraId="6D04692E" w14:textId="325813E9" w:rsidR="0043166A" w:rsidRPr="007B5BA7" w:rsidRDefault="0043166A" w:rsidP="007B5BA7">
      <w:pPr>
        <w:pStyle w:val="ListParagraph"/>
        <w:numPr>
          <w:ilvl w:val="0"/>
          <w:numId w:val="3"/>
        </w:numPr>
        <w:spacing w:after="0" w:line="240" w:lineRule="auto"/>
        <w:rPr>
          <w:rFonts w:cstheme="minorHAnsi"/>
        </w:rPr>
      </w:pPr>
      <w:r w:rsidRPr="007B5BA7">
        <w:rPr>
          <w:rFonts w:cstheme="minorHAnsi"/>
        </w:rPr>
        <w:lastRenderedPageBreak/>
        <w:t>Abby Van Voorhees, MD, FAAD, Professor and Chair, Department of Dermatology, Eastern</w:t>
      </w:r>
    </w:p>
    <w:p w14:paraId="5D43FB00" w14:textId="692551C3" w:rsidR="0043166A" w:rsidRPr="0043166A" w:rsidRDefault="0043166A" w:rsidP="007B5BA7">
      <w:pPr>
        <w:spacing w:after="0" w:line="240" w:lineRule="auto"/>
        <w:ind w:left="720"/>
        <w:rPr>
          <w:rFonts w:cstheme="minorHAnsi"/>
        </w:rPr>
      </w:pPr>
      <w:r w:rsidRPr="0043166A">
        <w:rPr>
          <w:rFonts w:cstheme="minorHAnsi"/>
        </w:rPr>
        <w:t>Virginia Medical School, is experienced in treating, researching, and educating peers in</w:t>
      </w:r>
    </w:p>
    <w:p w14:paraId="1401216B" w14:textId="77777777" w:rsidR="0043166A" w:rsidRPr="0043166A" w:rsidRDefault="0043166A" w:rsidP="007B5BA7">
      <w:pPr>
        <w:spacing w:after="0" w:line="240" w:lineRule="auto"/>
        <w:ind w:left="720"/>
        <w:rPr>
          <w:rFonts w:cstheme="minorHAnsi"/>
        </w:rPr>
      </w:pPr>
      <w:r w:rsidRPr="0043166A">
        <w:rPr>
          <w:rFonts w:cstheme="minorHAnsi"/>
        </w:rPr>
        <w:t>psoriasis.</w:t>
      </w:r>
    </w:p>
    <w:p w14:paraId="0A6BC75D" w14:textId="461A7B02" w:rsidR="0043166A" w:rsidRPr="007B5BA7" w:rsidRDefault="0043166A" w:rsidP="007B5BA7">
      <w:pPr>
        <w:pStyle w:val="ListParagraph"/>
        <w:numPr>
          <w:ilvl w:val="0"/>
          <w:numId w:val="3"/>
        </w:numPr>
        <w:spacing w:after="0" w:line="240" w:lineRule="auto"/>
        <w:rPr>
          <w:rFonts w:cstheme="minorHAnsi"/>
        </w:rPr>
      </w:pPr>
      <w:r w:rsidRPr="007B5BA7">
        <w:rPr>
          <w:rFonts w:cstheme="minorHAnsi"/>
        </w:rPr>
        <w:t>Dafna D. Gladman, MD, FRCPC, Senior Scientist, Toronto Western Research Institute,</w:t>
      </w:r>
    </w:p>
    <w:p w14:paraId="63CBE4D1" w14:textId="77777777" w:rsidR="0043166A" w:rsidRPr="0043166A" w:rsidRDefault="0043166A" w:rsidP="007B5BA7">
      <w:pPr>
        <w:spacing w:after="0" w:line="240" w:lineRule="auto"/>
        <w:ind w:left="720"/>
        <w:rPr>
          <w:rFonts w:cstheme="minorHAnsi"/>
        </w:rPr>
      </w:pPr>
      <w:r w:rsidRPr="0043166A">
        <w:rPr>
          <w:rFonts w:cstheme="minorHAnsi"/>
        </w:rPr>
        <w:t>Canada specialized in prognosis as well as genetic and therapeutic studies in psoriatic</w:t>
      </w:r>
    </w:p>
    <w:p w14:paraId="2016224F" w14:textId="77777777" w:rsidR="0043166A" w:rsidRPr="0043166A" w:rsidRDefault="0043166A" w:rsidP="007B5BA7">
      <w:pPr>
        <w:spacing w:after="0" w:line="240" w:lineRule="auto"/>
        <w:ind w:left="720"/>
        <w:rPr>
          <w:rFonts w:cstheme="minorHAnsi"/>
        </w:rPr>
      </w:pPr>
      <w:r w:rsidRPr="0043166A">
        <w:rPr>
          <w:rFonts w:cstheme="minorHAnsi"/>
        </w:rPr>
        <w:t>arthritis.</w:t>
      </w:r>
    </w:p>
    <w:p w14:paraId="0C2EF842" w14:textId="3D80605C" w:rsidR="0043166A" w:rsidRPr="007B5BA7" w:rsidRDefault="0043166A" w:rsidP="007B5BA7">
      <w:pPr>
        <w:pStyle w:val="ListParagraph"/>
        <w:numPr>
          <w:ilvl w:val="0"/>
          <w:numId w:val="3"/>
        </w:numPr>
        <w:spacing w:after="0" w:line="240" w:lineRule="auto"/>
        <w:rPr>
          <w:rFonts w:cstheme="minorHAnsi"/>
        </w:rPr>
      </w:pPr>
      <w:r w:rsidRPr="007B5BA7">
        <w:rPr>
          <w:rFonts w:cstheme="minorHAnsi"/>
        </w:rPr>
        <w:t>April W. Armstrong, MD, MPH, FAAD, Associate Dean of Clinical Research, Keck School of</w:t>
      </w:r>
    </w:p>
    <w:p w14:paraId="00F6C15D" w14:textId="77777777" w:rsidR="0043166A" w:rsidRPr="0043166A" w:rsidRDefault="0043166A" w:rsidP="007B5BA7">
      <w:pPr>
        <w:spacing w:after="0" w:line="240" w:lineRule="auto"/>
        <w:ind w:left="720"/>
        <w:rPr>
          <w:rFonts w:cstheme="minorHAnsi"/>
        </w:rPr>
      </w:pPr>
      <w:r w:rsidRPr="0043166A">
        <w:rPr>
          <w:rFonts w:cstheme="minorHAnsi"/>
        </w:rPr>
        <w:t>Medicine, USA has extensive experience conducting clinical trials and supporting effective</w:t>
      </w:r>
    </w:p>
    <w:p w14:paraId="5592355A" w14:textId="77777777" w:rsidR="007B5BA7" w:rsidRDefault="0043166A" w:rsidP="007B5BA7">
      <w:pPr>
        <w:spacing w:after="0" w:line="240" w:lineRule="auto"/>
        <w:ind w:left="720"/>
        <w:rPr>
          <w:rFonts w:cstheme="minorHAnsi"/>
        </w:rPr>
      </w:pPr>
      <w:r w:rsidRPr="0043166A">
        <w:rPr>
          <w:rFonts w:cstheme="minorHAnsi"/>
        </w:rPr>
        <w:t>research programs for patients with psoriasis.</w:t>
      </w:r>
    </w:p>
    <w:p w14:paraId="47944046" w14:textId="77777777" w:rsidR="00A35801" w:rsidRDefault="00A35801" w:rsidP="007B5BA7">
      <w:pPr>
        <w:spacing w:after="0" w:line="240" w:lineRule="auto"/>
        <w:rPr>
          <w:rFonts w:cstheme="minorHAnsi"/>
          <w:b/>
        </w:rPr>
      </w:pPr>
    </w:p>
    <w:p w14:paraId="19DEDF2B" w14:textId="2F2748F2" w:rsidR="00791263" w:rsidRPr="00791263" w:rsidRDefault="00D27247" w:rsidP="00791263">
      <w:pPr>
        <w:spacing w:after="0" w:line="240" w:lineRule="auto"/>
        <w:rPr>
          <w:rFonts w:cstheme="minorHAnsi"/>
          <w:i/>
          <w:iCs/>
        </w:rPr>
      </w:pPr>
      <w:r w:rsidRPr="000800F2">
        <w:rPr>
          <w:rFonts w:cstheme="minorHAnsi"/>
          <w:b/>
        </w:rPr>
        <w:t>Study of Intervention</w:t>
      </w:r>
      <w:r w:rsidR="0043166A">
        <w:rPr>
          <w:rFonts w:cstheme="minorHAnsi"/>
          <w:b/>
        </w:rPr>
        <w:br/>
      </w:r>
      <w:r w:rsidR="00791263" w:rsidRPr="00791263">
        <w:rPr>
          <w:rFonts w:cstheme="minorHAnsi"/>
          <w:i/>
          <w:iCs/>
        </w:rPr>
        <w:t>Approach chosen for assessing the impact of the </w:t>
      </w:r>
      <w:hyperlink r:id="rId24" w:anchor="Interventions" w:history="1">
        <w:r w:rsidR="00791263" w:rsidRPr="00791263">
          <w:rPr>
            <w:rStyle w:val="Hyperlink"/>
            <w:rFonts w:cstheme="minorHAnsi"/>
            <w:i/>
            <w:iCs/>
          </w:rPr>
          <w:t>intervention(s)</w:t>
        </w:r>
      </w:hyperlink>
      <w:r w:rsidR="00791263">
        <w:rPr>
          <w:rFonts w:cstheme="minorHAnsi"/>
          <w:i/>
          <w:iCs/>
        </w:rPr>
        <w:br/>
      </w:r>
      <w:r w:rsidR="00791263" w:rsidRPr="00791263">
        <w:rPr>
          <w:rFonts w:cstheme="minorHAnsi"/>
          <w:i/>
          <w:iCs/>
        </w:rPr>
        <w:t> Approach used to establish whether the observed outcomes were due to the </w:t>
      </w:r>
      <w:hyperlink r:id="rId25" w:anchor="Interventions" w:history="1">
        <w:r w:rsidR="00791263" w:rsidRPr="00791263">
          <w:rPr>
            <w:rStyle w:val="Hyperlink"/>
            <w:rFonts w:cstheme="minorHAnsi"/>
            <w:i/>
            <w:iCs/>
          </w:rPr>
          <w:t>intervention(s)</w:t>
        </w:r>
      </w:hyperlink>
    </w:p>
    <w:p w14:paraId="5D639468" w14:textId="77777777" w:rsidR="00791263" w:rsidRDefault="00791263" w:rsidP="00791263">
      <w:pPr>
        <w:spacing w:after="0" w:line="240" w:lineRule="auto"/>
        <w:rPr>
          <w:rFonts w:cstheme="minorHAnsi"/>
        </w:rPr>
      </w:pPr>
    </w:p>
    <w:p w14:paraId="4D346932" w14:textId="516A3484" w:rsidR="00791263" w:rsidRDefault="00791263" w:rsidP="006612C9">
      <w:pPr>
        <w:spacing w:after="0" w:line="240" w:lineRule="auto"/>
        <w:rPr>
          <w:rFonts w:cstheme="minorHAnsi"/>
        </w:rPr>
      </w:pPr>
      <w:r>
        <w:rPr>
          <w:rFonts w:cstheme="minorHAnsi"/>
        </w:rPr>
        <w:t xml:space="preserve">The approach used for assessing the impact of the project included focusing on the key objectives of the project, defining measures applicable to these objectives and creating </w:t>
      </w:r>
      <w:r w:rsidR="0094223E">
        <w:rPr>
          <w:rFonts w:cstheme="minorHAnsi"/>
        </w:rPr>
        <w:t xml:space="preserve">a </w:t>
      </w:r>
      <w:r>
        <w:rPr>
          <w:rFonts w:cstheme="minorHAnsi"/>
        </w:rPr>
        <w:t xml:space="preserve">data collection </w:t>
      </w:r>
      <w:r w:rsidR="0094223E">
        <w:rPr>
          <w:rFonts w:cstheme="minorHAnsi"/>
        </w:rPr>
        <w:t xml:space="preserve">strategy </w:t>
      </w:r>
      <w:r>
        <w:rPr>
          <w:rFonts w:cstheme="minorHAnsi"/>
        </w:rPr>
        <w:t xml:space="preserve">appropriate to the measures. </w:t>
      </w:r>
      <w:r>
        <w:rPr>
          <w:rFonts w:cstheme="minorHAnsi"/>
        </w:rPr>
        <w:br/>
      </w:r>
      <w:r>
        <w:rPr>
          <w:rFonts w:cstheme="minorHAnsi"/>
        </w:rPr>
        <w:br/>
        <w:t>To establish whether the observed</w:t>
      </w:r>
      <w:r w:rsidR="00374DD9">
        <w:rPr>
          <w:rFonts w:cstheme="minorHAnsi"/>
        </w:rPr>
        <w:t xml:space="preserve"> </w:t>
      </w:r>
      <w:r>
        <w:rPr>
          <w:rFonts w:cstheme="minorHAnsi"/>
        </w:rPr>
        <w:t>outcomes were due to the intervention</w:t>
      </w:r>
      <w:r w:rsidR="00E82285">
        <w:rPr>
          <w:rFonts w:cstheme="minorHAnsi"/>
        </w:rPr>
        <w:t>,</w:t>
      </w:r>
      <w:r>
        <w:rPr>
          <w:rFonts w:cstheme="minorHAnsi"/>
        </w:rPr>
        <w:t xml:space="preserve"> three separate workshops were </w:t>
      </w:r>
      <w:r w:rsidR="00740596">
        <w:rPr>
          <w:rFonts w:cstheme="minorHAnsi"/>
        </w:rPr>
        <w:t>offered,</w:t>
      </w:r>
      <w:r>
        <w:rPr>
          <w:rFonts w:cstheme="minorHAnsi"/>
        </w:rPr>
        <w:t xml:space="preserve"> and data compiled to assess if </w:t>
      </w:r>
      <w:r w:rsidR="00E82285">
        <w:rPr>
          <w:rFonts w:cstheme="minorHAnsi"/>
        </w:rPr>
        <w:t>a</w:t>
      </w:r>
      <w:r>
        <w:rPr>
          <w:rFonts w:cstheme="minorHAnsi"/>
        </w:rPr>
        <w:t xml:space="preserve"> change in knowledge, competence and confidence occurred </w:t>
      </w:r>
      <w:r w:rsidR="0094223E">
        <w:rPr>
          <w:rFonts w:cstheme="minorHAnsi"/>
        </w:rPr>
        <w:t xml:space="preserve">across the </w:t>
      </w:r>
      <w:r>
        <w:rPr>
          <w:rFonts w:cstheme="minorHAnsi"/>
        </w:rPr>
        <w:t>workshop</w:t>
      </w:r>
      <w:r w:rsidR="0094223E">
        <w:rPr>
          <w:rFonts w:cstheme="minorHAnsi"/>
        </w:rPr>
        <w:t>s</w:t>
      </w:r>
      <w:r w:rsidR="007E22E9">
        <w:rPr>
          <w:rFonts w:cstheme="minorHAnsi"/>
        </w:rPr>
        <w:t>. The same p</w:t>
      </w:r>
      <w:r>
        <w:rPr>
          <w:rFonts w:cstheme="minorHAnsi"/>
        </w:rPr>
        <w:t>re</w:t>
      </w:r>
      <w:r w:rsidR="00700654">
        <w:rPr>
          <w:rFonts w:cstheme="minorHAnsi"/>
        </w:rPr>
        <w:t>/</w:t>
      </w:r>
      <w:r>
        <w:rPr>
          <w:rFonts w:cstheme="minorHAnsi"/>
        </w:rPr>
        <w:t xml:space="preserve">post questionnaires </w:t>
      </w:r>
      <w:r w:rsidR="007E22E9">
        <w:rPr>
          <w:rFonts w:cstheme="minorHAnsi"/>
        </w:rPr>
        <w:t xml:space="preserve">and overall evaluation </w:t>
      </w:r>
      <w:r>
        <w:rPr>
          <w:rFonts w:cstheme="minorHAnsi"/>
        </w:rPr>
        <w:t xml:space="preserve">were implemented during </w:t>
      </w:r>
      <w:r w:rsidR="00E82285">
        <w:rPr>
          <w:rFonts w:cstheme="minorHAnsi"/>
        </w:rPr>
        <w:t>each workshop</w:t>
      </w:r>
      <w:r w:rsidR="007E22E9">
        <w:rPr>
          <w:rFonts w:cstheme="minorHAnsi"/>
        </w:rPr>
        <w:t xml:space="preserve"> for consistency across the workshops. A</w:t>
      </w:r>
      <w:r>
        <w:rPr>
          <w:rFonts w:cstheme="minorHAnsi"/>
        </w:rPr>
        <w:t xml:space="preserve"> control group was used to compare any increases </w:t>
      </w:r>
      <w:r w:rsidR="00740596">
        <w:rPr>
          <w:rFonts w:cstheme="minorHAnsi"/>
        </w:rPr>
        <w:t>in knowledge</w:t>
      </w:r>
      <w:r>
        <w:rPr>
          <w:rFonts w:cstheme="minorHAnsi"/>
        </w:rPr>
        <w:t>, competence and confidence with the intervention</w:t>
      </w:r>
      <w:r w:rsidR="00E82285">
        <w:rPr>
          <w:rFonts w:cstheme="minorHAnsi"/>
        </w:rPr>
        <w:t xml:space="preserve">. To observe if outcomes were due to the intervention, post workshop baseline and </w:t>
      </w:r>
      <w:r w:rsidR="00740596">
        <w:rPr>
          <w:rFonts w:cstheme="minorHAnsi"/>
        </w:rPr>
        <w:t>6-month</w:t>
      </w:r>
      <w:r w:rsidR="00E82285">
        <w:rPr>
          <w:rFonts w:cstheme="minorHAnsi"/>
        </w:rPr>
        <w:t xml:space="preserve"> follow-up </w:t>
      </w:r>
      <w:r w:rsidR="007E22E9">
        <w:rPr>
          <w:rFonts w:cstheme="minorHAnsi"/>
        </w:rPr>
        <w:t xml:space="preserve">implementation </w:t>
      </w:r>
      <w:r w:rsidR="00E82285">
        <w:rPr>
          <w:rFonts w:cstheme="minorHAnsi"/>
        </w:rPr>
        <w:t>activit</w:t>
      </w:r>
      <w:r w:rsidR="007E22E9">
        <w:rPr>
          <w:rFonts w:cstheme="minorHAnsi"/>
        </w:rPr>
        <w:t>ies were</w:t>
      </w:r>
      <w:r w:rsidR="00E82285">
        <w:rPr>
          <w:rFonts w:cstheme="minorHAnsi"/>
        </w:rPr>
        <w:t xml:space="preserve"> </w:t>
      </w:r>
      <w:r w:rsidR="00644965">
        <w:rPr>
          <w:rFonts w:cstheme="minorHAnsi"/>
        </w:rPr>
        <w:t xml:space="preserve">to be </w:t>
      </w:r>
      <w:r w:rsidR="00E82285">
        <w:rPr>
          <w:rFonts w:cstheme="minorHAnsi"/>
        </w:rPr>
        <w:t xml:space="preserve">conducted </w:t>
      </w:r>
      <w:r w:rsidR="007E22E9">
        <w:rPr>
          <w:rFonts w:cstheme="minorHAnsi"/>
        </w:rPr>
        <w:t xml:space="preserve">to collect data using </w:t>
      </w:r>
      <w:r w:rsidR="00E82285">
        <w:rPr>
          <w:rFonts w:cstheme="minorHAnsi"/>
        </w:rPr>
        <w:t>chart audits</w:t>
      </w:r>
      <w:r w:rsidR="00644965">
        <w:rPr>
          <w:rFonts w:cstheme="minorHAnsi"/>
        </w:rPr>
        <w:t xml:space="preserve"> </w:t>
      </w:r>
      <w:r w:rsidR="007E22E9">
        <w:rPr>
          <w:rFonts w:cstheme="minorHAnsi"/>
        </w:rPr>
        <w:t>for comparison between the two implementation activities.</w:t>
      </w:r>
      <w:r w:rsidR="00E82285">
        <w:rPr>
          <w:rFonts w:cstheme="minorHAnsi"/>
        </w:rPr>
        <w:t xml:space="preserve"> Patient data collection </w:t>
      </w:r>
      <w:r w:rsidR="00644965">
        <w:rPr>
          <w:rFonts w:cstheme="minorHAnsi"/>
        </w:rPr>
        <w:t xml:space="preserve">was to </w:t>
      </w:r>
      <w:r w:rsidR="00E82285">
        <w:rPr>
          <w:rFonts w:cstheme="minorHAnsi"/>
        </w:rPr>
        <w:t xml:space="preserve">include a pre </w:t>
      </w:r>
      <w:r w:rsidR="002405AC">
        <w:rPr>
          <w:rFonts w:cstheme="minorHAnsi"/>
        </w:rPr>
        <w:t>-</w:t>
      </w:r>
      <w:r w:rsidR="00E82285">
        <w:rPr>
          <w:rFonts w:cstheme="minorHAnsi"/>
        </w:rPr>
        <w:t xml:space="preserve"> post questionnaire during both the baseline and </w:t>
      </w:r>
      <w:r w:rsidR="00740596">
        <w:rPr>
          <w:rFonts w:cstheme="minorHAnsi"/>
        </w:rPr>
        <w:t>6-month</w:t>
      </w:r>
      <w:r w:rsidR="00E82285">
        <w:rPr>
          <w:rFonts w:cstheme="minorHAnsi"/>
        </w:rPr>
        <w:t xml:space="preserve"> follow-up activities for comparison of QOL data. </w:t>
      </w:r>
      <w:r>
        <w:rPr>
          <w:rFonts w:cstheme="minorHAnsi"/>
        </w:rPr>
        <w:t xml:space="preserve"> </w:t>
      </w:r>
    </w:p>
    <w:p w14:paraId="5FAB4345" w14:textId="142C0CC3" w:rsidR="00A35801" w:rsidRPr="00A35801" w:rsidRDefault="00A35801" w:rsidP="00944353">
      <w:pPr>
        <w:autoSpaceDE w:val="0"/>
        <w:autoSpaceDN w:val="0"/>
        <w:adjustRightInd w:val="0"/>
        <w:spacing w:after="0" w:line="240" w:lineRule="auto"/>
        <w:rPr>
          <w:rFonts w:cstheme="minorHAnsi"/>
        </w:rPr>
      </w:pPr>
      <w:bookmarkStart w:id="17" w:name="_Hlk6574589"/>
    </w:p>
    <w:bookmarkEnd w:id="17"/>
    <w:p w14:paraId="710B5A44" w14:textId="70E63968" w:rsidR="00276F6C" w:rsidRPr="00B3386A" w:rsidRDefault="00D27247" w:rsidP="00276F6C">
      <w:pPr>
        <w:autoSpaceDE w:val="0"/>
        <w:autoSpaceDN w:val="0"/>
        <w:adjustRightInd w:val="0"/>
        <w:spacing w:after="0" w:line="240" w:lineRule="auto"/>
        <w:rPr>
          <w:rFonts w:cstheme="minorHAnsi"/>
          <w:b/>
        </w:rPr>
      </w:pPr>
      <w:r w:rsidRPr="00B3386A">
        <w:rPr>
          <w:rFonts w:cstheme="minorHAnsi"/>
          <w:b/>
        </w:rPr>
        <w:t xml:space="preserve">Measures </w:t>
      </w:r>
      <w:r w:rsidR="00276F6C" w:rsidRPr="00B3386A">
        <w:rPr>
          <w:rFonts w:cstheme="minorHAnsi"/>
          <w:b/>
        </w:rPr>
        <w:br/>
        <w:t>a.  Measures chosen for studying </w:t>
      </w:r>
      <w:hyperlink r:id="rId26" w:anchor="Process" w:history="1">
        <w:r w:rsidR="00276F6C" w:rsidRPr="00B3386A">
          <w:rPr>
            <w:rStyle w:val="Hyperlink"/>
            <w:rFonts w:cstheme="minorHAnsi"/>
            <w:b/>
          </w:rPr>
          <w:t>processes</w:t>
        </w:r>
      </w:hyperlink>
      <w:r w:rsidR="00276F6C" w:rsidRPr="00B3386A">
        <w:rPr>
          <w:rFonts w:cstheme="minorHAnsi"/>
          <w:b/>
        </w:rPr>
        <w:t> and outcomes of the </w:t>
      </w:r>
      <w:hyperlink r:id="rId27" w:anchor="Interventions" w:history="1">
        <w:r w:rsidR="00276F6C" w:rsidRPr="00B3386A">
          <w:rPr>
            <w:rStyle w:val="Hyperlink"/>
            <w:rFonts w:cstheme="minorHAnsi"/>
            <w:b/>
          </w:rPr>
          <w:t>intervention(s), </w:t>
        </w:r>
      </w:hyperlink>
      <w:r w:rsidR="00276F6C" w:rsidRPr="00B3386A">
        <w:rPr>
          <w:rFonts w:cstheme="minorHAnsi"/>
          <w:b/>
        </w:rPr>
        <w:t>including rationale for choosing them, their operational definitions, and their validity and reliability</w:t>
      </w:r>
    </w:p>
    <w:p w14:paraId="5B92D1D2" w14:textId="77777777" w:rsidR="00276F6C" w:rsidRPr="00B3386A" w:rsidRDefault="00276F6C" w:rsidP="00276F6C">
      <w:pPr>
        <w:autoSpaceDE w:val="0"/>
        <w:autoSpaceDN w:val="0"/>
        <w:adjustRightInd w:val="0"/>
        <w:spacing w:after="0" w:line="240" w:lineRule="auto"/>
        <w:rPr>
          <w:rFonts w:cstheme="minorHAnsi"/>
          <w:b/>
        </w:rPr>
      </w:pPr>
      <w:bookmarkStart w:id="18" w:name="_Hlk6471397"/>
      <w:r w:rsidRPr="00B3386A">
        <w:rPr>
          <w:rFonts w:cstheme="minorHAnsi"/>
          <w:b/>
        </w:rPr>
        <w:t>b.  Description of the approach to the ongoing assessment of contextual elements that contributed to the success, failure, efficiency, and cost</w:t>
      </w:r>
    </w:p>
    <w:bookmarkEnd w:id="18"/>
    <w:p w14:paraId="2A884D84" w14:textId="77777777" w:rsidR="00276F6C" w:rsidRPr="00B3386A" w:rsidRDefault="00276F6C" w:rsidP="00276F6C">
      <w:pPr>
        <w:autoSpaceDE w:val="0"/>
        <w:autoSpaceDN w:val="0"/>
        <w:adjustRightInd w:val="0"/>
        <w:spacing w:after="0" w:line="240" w:lineRule="auto"/>
        <w:rPr>
          <w:rFonts w:cstheme="minorHAnsi"/>
          <w:b/>
        </w:rPr>
      </w:pPr>
      <w:r w:rsidRPr="00B3386A">
        <w:rPr>
          <w:rFonts w:cstheme="minorHAnsi"/>
          <w:b/>
        </w:rPr>
        <w:t>c.  Methods employed for assessing completeness and accuracy of data</w:t>
      </w:r>
    </w:p>
    <w:p w14:paraId="02AF4AEC" w14:textId="19AAF866" w:rsidR="00CE1E16" w:rsidRDefault="00A91EE3" w:rsidP="00A91EE3">
      <w:pPr>
        <w:autoSpaceDE w:val="0"/>
        <w:autoSpaceDN w:val="0"/>
        <w:adjustRightInd w:val="0"/>
        <w:spacing w:after="0" w:line="240" w:lineRule="auto"/>
        <w:rPr>
          <w:rFonts w:cstheme="minorHAnsi"/>
          <w:i/>
          <w:iCs/>
        </w:rPr>
      </w:pPr>
      <w:r w:rsidRPr="0F75BF01">
        <w:rPr>
          <w:i/>
          <w:iCs/>
        </w:rPr>
        <w:lastRenderedPageBreak/>
        <w:t>Measures</w:t>
      </w:r>
      <w:r w:rsidR="00944353" w:rsidRPr="0F75BF01">
        <w:rPr>
          <w:i/>
          <w:iCs/>
        </w:rPr>
        <w:t xml:space="preserve"> </w:t>
      </w:r>
      <w:r w:rsidR="00C03604" w:rsidRPr="0F75BF01">
        <w:rPr>
          <w:i/>
          <w:iCs/>
        </w:rPr>
        <w:t xml:space="preserve">– </w:t>
      </w:r>
      <w:r w:rsidR="00944353" w:rsidRPr="0F75BF01">
        <w:rPr>
          <w:i/>
          <w:iCs/>
        </w:rPr>
        <w:t>Table</w:t>
      </w:r>
      <w:r w:rsidR="00C03604" w:rsidRPr="0F75BF01">
        <w:rPr>
          <w:i/>
          <w:iCs/>
        </w:rPr>
        <w:t xml:space="preserve"> 4</w:t>
      </w:r>
      <w:r w:rsidR="00CE1E16">
        <w:rPr>
          <w:rFonts w:cstheme="minorHAnsi"/>
          <w:b/>
        </w:rPr>
        <w:br/>
      </w:r>
      <w:r w:rsidR="00CE1E16" w:rsidRPr="0F75BF01">
        <w:rPr>
          <w:i/>
          <w:iCs/>
        </w:rPr>
        <w:t xml:space="preserve">                       </w:t>
      </w:r>
      <w:r w:rsidR="00CE1E16" w:rsidRPr="00CE1E16">
        <w:rPr>
          <w:rFonts w:cstheme="minorHAnsi"/>
          <w:b/>
          <w:noProof/>
        </w:rPr>
        <w:drawing>
          <wp:inline distT="0" distB="0" distL="0" distR="0" wp14:anchorId="7DF469A8" wp14:editId="5E21450A">
            <wp:extent cx="4584700" cy="520786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7140" cy="5221994"/>
                    </a:xfrm>
                    <a:prstGeom prst="rect">
                      <a:avLst/>
                    </a:prstGeom>
                    <a:noFill/>
                    <a:ln>
                      <a:noFill/>
                    </a:ln>
                  </pic:spPr>
                </pic:pic>
              </a:graphicData>
            </a:graphic>
          </wp:inline>
        </w:drawing>
      </w:r>
      <w:r w:rsidR="00D27247" w:rsidRPr="000800F2">
        <w:rPr>
          <w:rFonts w:cstheme="minorHAnsi"/>
          <w:b/>
        </w:rPr>
        <w:br/>
      </w:r>
    </w:p>
    <w:p w14:paraId="0C928447" w14:textId="00F2F0E6" w:rsidR="00023C8F" w:rsidRPr="0077124E" w:rsidRDefault="00023C8F" w:rsidP="00023C8F">
      <w:pPr>
        <w:autoSpaceDE w:val="0"/>
        <w:autoSpaceDN w:val="0"/>
        <w:adjustRightInd w:val="0"/>
        <w:spacing w:after="0" w:line="240" w:lineRule="auto"/>
      </w:pPr>
      <w:bookmarkStart w:id="19" w:name="_Hlk6472569"/>
      <w:r w:rsidRPr="008E67E9">
        <w:rPr>
          <w:i/>
          <w:iCs/>
        </w:rPr>
        <w:t>Workshop Measures - Participants</w:t>
      </w:r>
    </w:p>
    <w:bookmarkEnd w:id="19"/>
    <w:p w14:paraId="6BE93F6D" w14:textId="77777777" w:rsidR="00023C8F" w:rsidRPr="0077124E" w:rsidRDefault="00023C8F" w:rsidP="00023C8F">
      <w:pPr>
        <w:numPr>
          <w:ilvl w:val="0"/>
          <w:numId w:val="4"/>
        </w:numPr>
        <w:spacing w:after="0" w:line="240" w:lineRule="auto"/>
      </w:pPr>
      <w:r w:rsidRPr="0077124E">
        <w:t>Clinical knowledge and competence</w:t>
      </w:r>
    </w:p>
    <w:p w14:paraId="6E333C2B" w14:textId="77777777" w:rsidR="00023C8F" w:rsidRPr="0077124E" w:rsidRDefault="00023C8F" w:rsidP="00023C8F">
      <w:pPr>
        <w:numPr>
          <w:ilvl w:val="0"/>
          <w:numId w:val="4"/>
        </w:numPr>
        <w:spacing w:after="0" w:line="240" w:lineRule="auto"/>
      </w:pPr>
      <w:r w:rsidRPr="0077124E">
        <w:t>Treatment confidence level</w:t>
      </w:r>
    </w:p>
    <w:p w14:paraId="3E983C53" w14:textId="77777777" w:rsidR="00023C8F" w:rsidRPr="0077124E" w:rsidRDefault="00023C8F" w:rsidP="00023C8F">
      <w:pPr>
        <w:numPr>
          <w:ilvl w:val="0"/>
          <w:numId w:val="4"/>
        </w:numPr>
        <w:spacing w:after="0" w:line="240" w:lineRule="auto"/>
      </w:pPr>
      <w:r w:rsidRPr="0077124E">
        <w:t>Self-reported performance of psoriasis, PsA, QOL</w:t>
      </w:r>
    </w:p>
    <w:p w14:paraId="714F1BFC" w14:textId="77777777" w:rsidR="00023C8F" w:rsidRPr="0077124E" w:rsidRDefault="00023C8F" w:rsidP="00023C8F">
      <w:pPr>
        <w:numPr>
          <w:ilvl w:val="0"/>
          <w:numId w:val="4"/>
        </w:numPr>
        <w:spacing w:after="0" w:line="240" w:lineRule="auto"/>
      </w:pPr>
      <w:r w:rsidRPr="0077124E">
        <w:t>Perception of impact on knowledge</w:t>
      </w:r>
    </w:p>
    <w:p w14:paraId="02F1789A" w14:textId="77777777" w:rsidR="00023C8F" w:rsidRDefault="00023C8F" w:rsidP="00023C8F">
      <w:pPr>
        <w:numPr>
          <w:ilvl w:val="0"/>
          <w:numId w:val="4"/>
        </w:numPr>
        <w:spacing w:after="0" w:line="240" w:lineRule="auto"/>
      </w:pPr>
      <w:r w:rsidRPr="0077124E">
        <w:t>Perception of impact on practice</w:t>
      </w:r>
    </w:p>
    <w:p w14:paraId="54B2EBC5" w14:textId="3983E208" w:rsidR="0085034D" w:rsidRPr="00642F62" w:rsidRDefault="009118D7" w:rsidP="0085034D">
      <w:pPr>
        <w:autoSpaceDE w:val="0"/>
        <w:autoSpaceDN w:val="0"/>
        <w:adjustRightInd w:val="0"/>
        <w:spacing w:after="0" w:line="240" w:lineRule="auto"/>
        <w:rPr>
          <w:i/>
          <w:iCs/>
          <w:u w:val="single"/>
        </w:rPr>
      </w:pPr>
      <w:bookmarkStart w:id="20" w:name="_Hlk6488844"/>
      <w:r>
        <w:br/>
        <w:t xml:space="preserve">The measures above were selected based on a </w:t>
      </w:r>
      <w:r w:rsidR="00023C8F">
        <w:t xml:space="preserve">key objective of this grant </w:t>
      </w:r>
      <w:r w:rsidR="00642F62">
        <w:t>t</w:t>
      </w:r>
      <w:r w:rsidR="00023C8F">
        <w:t xml:space="preserve">o </w:t>
      </w:r>
      <w:r w:rsidR="00642F62" w:rsidRPr="000800F2">
        <w:rPr>
          <w:rFonts w:cstheme="minorHAnsi"/>
        </w:rPr>
        <w:t>increase</w:t>
      </w:r>
      <w:r w:rsidR="0085034D">
        <w:rPr>
          <w:rFonts w:cstheme="minorHAnsi"/>
        </w:rPr>
        <w:t xml:space="preserve"> learner</w:t>
      </w:r>
      <w:r w:rsidR="00642F62" w:rsidRPr="000800F2">
        <w:rPr>
          <w:rFonts w:cstheme="minorHAnsi"/>
        </w:rPr>
        <w:t xml:space="preserve"> knowledge, competence, and confidence in</w:t>
      </w:r>
      <w:r w:rsidR="00642F62">
        <w:rPr>
          <w:rFonts w:cstheme="minorHAnsi"/>
        </w:rPr>
        <w:t xml:space="preserve"> </w:t>
      </w:r>
      <w:r w:rsidR="00642F62" w:rsidRPr="000800F2">
        <w:rPr>
          <w:rFonts w:cstheme="minorHAnsi"/>
        </w:rPr>
        <w:t>using assessment tools for psoriasis, PsA, and QOL</w:t>
      </w:r>
      <w:r w:rsidR="0085034D">
        <w:rPr>
          <w:rFonts w:cstheme="minorHAnsi"/>
        </w:rPr>
        <w:t>.</w:t>
      </w:r>
      <w:r w:rsidR="0085034D" w:rsidRPr="0085034D">
        <w:rPr>
          <w:rFonts w:cstheme="minorHAnsi"/>
        </w:rPr>
        <w:t xml:space="preserve"> </w:t>
      </w:r>
      <w:r w:rsidR="0085034D">
        <w:rPr>
          <w:rFonts w:cstheme="minorHAnsi"/>
        </w:rPr>
        <w:t xml:space="preserve">Data collection tools for these measures were </w:t>
      </w:r>
      <w:r w:rsidR="00644965">
        <w:rPr>
          <w:rFonts w:cstheme="minorHAnsi"/>
        </w:rPr>
        <w:t xml:space="preserve">to be </w:t>
      </w:r>
      <w:r w:rsidR="0085034D">
        <w:rPr>
          <w:rFonts w:cstheme="minorHAnsi"/>
        </w:rPr>
        <w:t>self-reported pre-post questionnaires during the workshop</w:t>
      </w:r>
      <w:r w:rsidR="00173CD4">
        <w:rPr>
          <w:rFonts w:cstheme="minorHAnsi"/>
        </w:rPr>
        <w:t xml:space="preserve"> and</w:t>
      </w:r>
      <w:r w:rsidR="00F91FBF">
        <w:rPr>
          <w:rFonts w:cstheme="minorHAnsi"/>
        </w:rPr>
        <w:t xml:space="preserve"> a</w:t>
      </w:r>
      <w:r w:rsidR="0085034D">
        <w:rPr>
          <w:rFonts w:cstheme="minorHAnsi"/>
        </w:rPr>
        <w:t xml:space="preserve"> workshop overall evaluation</w:t>
      </w:r>
      <w:r w:rsidR="00F91FBF">
        <w:rPr>
          <w:rFonts w:cstheme="minorHAnsi"/>
        </w:rPr>
        <w:t>.</w:t>
      </w:r>
    </w:p>
    <w:p w14:paraId="661FE986" w14:textId="00FA9603" w:rsidR="00023C8F" w:rsidRPr="0077124E" w:rsidRDefault="00023C8F" w:rsidP="00642F62">
      <w:pPr>
        <w:autoSpaceDE w:val="0"/>
        <w:autoSpaceDN w:val="0"/>
        <w:adjustRightInd w:val="0"/>
        <w:spacing w:after="0" w:line="240" w:lineRule="auto"/>
      </w:pPr>
      <w:r>
        <w:br/>
      </w:r>
      <w:bookmarkEnd w:id="20"/>
      <w:r>
        <w:rPr>
          <w:i/>
          <w:iCs/>
          <w:u w:val="single"/>
        </w:rPr>
        <w:t>Post Workshop and Online Activity Measures - Participants</w:t>
      </w:r>
    </w:p>
    <w:p w14:paraId="714EAD5B" w14:textId="77777777" w:rsidR="00023C8F" w:rsidRPr="0077124E" w:rsidRDefault="00023C8F" w:rsidP="00023C8F">
      <w:pPr>
        <w:numPr>
          <w:ilvl w:val="0"/>
          <w:numId w:val="4"/>
        </w:numPr>
        <w:spacing w:after="0" w:line="240" w:lineRule="auto"/>
      </w:pPr>
      <w:bookmarkStart w:id="21" w:name="_Hlk6473389"/>
      <w:r w:rsidRPr="0077124E">
        <w:t>Documented performance of psoriasis, PsA, QOL</w:t>
      </w:r>
      <w:r>
        <w:t xml:space="preserve"> </w:t>
      </w:r>
      <w:r w:rsidRPr="0077124E">
        <w:t>assessment</w:t>
      </w:r>
    </w:p>
    <w:p w14:paraId="1CB5D105" w14:textId="0895B1D3" w:rsidR="009118D7" w:rsidRDefault="009118D7" w:rsidP="00023C8F">
      <w:pPr>
        <w:numPr>
          <w:ilvl w:val="0"/>
          <w:numId w:val="5"/>
        </w:numPr>
        <w:spacing w:after="0" w:line="240" w:lineRule="auto"/>
      </w:pPr>
      <w:r>
        <w:t>Documented use of scales and tools</w:t>
      </w:r>
    </w:p>
    <w:bookmarkEnd w:id="21"/>
    <w:p w14:paraId="5D8E2137" w14:textId="77777777" w:rsidR="00642F62" w:rsidRDefault="00642F62" w:rsidP="00642F62">
      <w:pPr>
        <w:autoSpaceDE w:val="0"/>
        <w:autoSpaceDN w:val="0"/>
        <w:adjustRightInd w:val="0"/>
        <w:spacing w:after="0" w:line="240" w:lineRule="auto"/>
        <w:rPr>
          <w:rFonts w:cstheme="minorHAnsi"/>
        </w:rPr>
      </w:pPr>
    </w:p>
    <w:p w14:paraId="07C56478" w14:textId="688F9E76" w:rsidR="00023C8F" w:rsidRPr="00642F62" w:rsidRDefault="00642F62" w:rsidP="00642F62">
      <w:pPr>
        <w:autoSpaceDE w:val="0"/>
        <w:autoSpaceDN w:val="0"/>
        <w:adjustRightInd w:val="0"/>
        <w:spacing w:after="0" w:line="240" w:lineRule="auto"/>
        <w:rPr>
          <w:i/>
          <w:iCs/>
          <w:u w:val="single"/>
        </w:rPr>
      </w:pPr>
      <w:r>
        <w:t xml:space="preserve">The measures above were selected based on a key objective of this grant to </w:t>
      </w:r>
      <w:r w:rsidRPr="00642F62">
        <w:rPr>
          <w:rFonts w:cstheme="minorHAnsi"/>
        </w:rPr>
        <w:t>increase the clinical use of tools for</w:t>
      </w:r>
      <w:r>
        <w:rPr>
          <w:rFonts w:cstheme="minorHAnsi"/>
        </w:rPr>
        <w:t xml:space="preserve"> </w:t>
      </w:r>
      <w:r w:rsidRPr="00642F62">
        <w:rPr>
          <w:rFonts w:cstheme="minorHAnsi"/>
        </w:rPr>
        <w:t>assessing psoriasis, PsA, and QOL in patients with psoriasis</w:t>
      </w:r>
      <w:r w:rsidR="00B634AE">
        <w:rPr>
          <w:rFonts w:cstheme="minorHAnsi"/>
        </w:rPr>
        <w:t xml:space="preserve">. </w:t>
      </w:r>
      <w:r w:rsidR="0085034D">
        <w:rPr>
          <w:rFonts w:cstheme="minorHAnsi"/>
        </w:rPr>
        <w:t>Data collection tools for these measures</w:t>
      </w:r>
      <w:r w:rsidR="00644965">
        <w:rPr>
          <w:rFonts w:cstheme="minorHAnsi"/>
        </w:rPr>
        <w:t xml:space="preserve"> were to</w:t>
      </w:r>
      <w:r w:rsidR="0085034D">
        <w:rPr>
          <w:rFonts w:cstheme="minorHAnsi"/>
        </w:rPr>
        <w:t xml:space="preserve"> include chart audit at the </w:t>
      </w:r>
      <w:r w:rsidR="00740596">
        <w:rPr>
          <w:rFonts w:cstheme="minorHAnsi"/>
        </w:rPr>
        <w:t>30-day</w:t>
      </w:r>
      <w:r w:rsidR="0085034D">
        <w:rPr>
          <w:rFonts w:cstheme="minorHAnsi"/>
        </w:rPr>
        <w:t xml:space="preserve"> baseline and </w:t>
      </w:r>
      <w:r w:rsidR="00740596">
        <w:rPr>
          <w:rFonts w:cstheme="minorHAnsi"/>
        </w:rPr>
        <w:t>6-month</w:t>
      </w:r>
      <w:r w:rsidR="0085034D">
        <w:rPr>
          <w:rFonts w:cstheme="minorHAnsi"/>
        </w:rPr>
        <w:t xml:space="preserve"> follow-up imp</w:t>
      </w:r>
      <w:r w:rsidR="00A92213">
        <w:rPr>
          <w:rFonts w:cstheme="minorHAnsi"/>
        </w:rPr>
        <w:t>lementation periods.</w:t>
      </w:r>
    </w:p>
    <w:p w14:paraId="4FFF210C" w14:textId="77777777" w:rsidR="00642F62" w:rsidRDefault="00642F62" w:rsidP="00023C8F">
      <w:pPr>
        <w:spacing w:after="0" w:line="240" w:lineRule="auto"/>
        <w:rPr>
          <w:i/>
          <w:iCs/>
          <w:u w:val="single"/>
        </w:rPr>
      </w:pPr>
    </w:p>
    <w:p w14:paraId="3AAC095D" w14:textId="0DCB6C1C" w:rsidR="00023C8F" w:rsidRPr="0077124E" w:rsidRDefault="00023C8F" w:rsidP="00023C8F">
      <w:pPr>
        <w:spacing w:after="0" w:line="240" w:lineRule="auto"/>
      </w:pPr>
      <w:r>
        <w:rPr>
          <w:i/>
          <w:iCs/>
          <w:u w:val="single"/>
        </w:rPr>
        <w:t>QOL Measures - Patients</w:t>
      </w:r>
    </w:p>
    <w:p w14:paraId="74F01058" w14:textId="77777777" w:rsidR="00023C8F" w:rsidRDefault="00023C8F" w:rsidP="00023C8F">
      <w:pPr>
        <w:numPr>
          <w:ilvl w:val="0"/>
          <w:numId w:val="6"/>
        </w:numPr>
        <w:spacing w:after="0" w:line="240" w:lineRule="auto"/>
      </w:pPr>
      <w:r w:rsidRPr="0077124E">
        <w:t>Perception of QOL</w:t>
      </w:r>
    </w:p>
    <w:p w14:paraId="67A43715" w14:textId="77777777" w:rsidR="00642F62" w:rsidRPr="00642F62" w:rsidRDefault="00023C8F" w:rsidP="00023C8F">
      <w:pPr>
        <w:numPr>
          <w:ilvl w:val="0"/>
          <w:numId w:val="6"/>
        </w:numPr>
        <w:spacing w:after="0" w:line="240" w:lineRule="auto"/>
        <w:rPr>
          <w:i/>
          <w:iCs/>
          <w:u w:val="single"/>
        </w:rPr>
      </w:pPr>
      <w:r w:rsidRPr="0077124E">
        <w:t>Treatment satisfaction</w:t>
      </w:r>
    </w:p>
    <w:p w14:paraId="78E1D644" w14:textId="77777777" w:rsidR="00642F62" w:rsidRDefault="00642F62" w:rsidP="00642F62">
      <w:pPr>
        <w:spacing w:after="0" w:line="240" w:lineRule="auto"/>
      </w:pPr>
    </w:p>
    <w:p w14:paraId="31AC305F" w14:textId="53FDEBE1" w:rsidR="00642F62" w:rsidRPr="00642F62" w:rsidRDefault="00642F62" w:rsidP="00642F62">
      <w:pPr>
        <w:autoSpaceDE w:val="0"/>
        <w:autoSpaceDN w:val="0"/>
        <w:adjustRightInd w:val="0"/>
        <w:spacing w:after="0" w:line="240" w:lineRule="auto"/>
        <w:rPr>
          <w:i/>
          <w:iCs/>
          <w:u w:val="single"/>
        </w:rPr>
      </w:pPr>
      <w:r>
        <w:t xml:space="preserve">The measures above were selected based on a key objective of this grant to </w:t>
      </w:r>
      <w:r w:rsidRPr="00642F62">
        <w:rPr>
          <w:rFonts w:cstheme="minorHAnsi"/>
        </w:rPr>
        <w:t>increase QOL and treatment</w:t>
      </w:r>
      <w:r>
        <w:rPr>
          <w:rFonts w:cstheme="minorHAnsi"/>
        </w:rPr>
        <w:t xml:space="preserve"> </w:t>
      </w:r>
      <w:r w:rsidRPr="00642F62">
        <w:rPr>
          <w:rFonts w:cstheme="minorHAnsi"/>
        </w:rPr>
        <w:t>satisfaction as reported by patients with psoriasis and PsA.</w:t>
      </w:r>
      <w:r w:rsidR="00B634AE" w:rsidRPr="00B634AE">
        <w:rPr>
          <w:rFonts w:cstheme="minorHAnsi"/>
        </w:rPr>
        <w:t xml:space="preserve"> </w:t>
      </w:r>
      <w:r w:rsidR="00B634AE">
        <w:rPr>
          <w:rFonts w:cstheme="minorHAnsi"/>
        </w:rPr>
        <w:t xml:space="preserve">Data collection tools for these measures were </w:t>
      </w:r>
      <w:r w:rsidR="00644965">
        <w:rPr>
          <w:rFonts w:cstheme="minorHAnsi"/>
        </w:rPr>
        <w:t xml:space="preserve">to be </w:t>
      </w:r>
      <w:r w:rsidR="00B634AE">
        <w:rPr>
          <w:rFonts w:cstheme="minorHAnsi"/>
        </w:rPr>
        <w:t xml:space="preserve">self-reported </w:t>
      </w:r>
      <w:r w:rsidR="00BF5558">
        <w:rPr>
          <w:rFonts w:cstheme="minorHAnsi"/>
        </w:rPr>
        <w:t xml:space="preserve">QOL </w:t>
      </w:r>
      <w:r w:rsidR="00B634AE">
        <w:rPr>
          <w:rFonts w:cstheme="minorHAnsi"/>
        </w:rPr>
        <w:t xml:space="preserve">pre-post questionnaires submitted by patients </w:t>
      </w:r>
      <w:r w:rsidR="00BF5558">
        <w:rPr>
          <w:rFonts w:cstheme="minorHAnsi"/>
        </w:rPr>
        <w:t xml:space="preserve">recruited by participants </w:t>
      </w:r>
      <w:r w:rsidR="00B634AE">
        <w:rPr>
          <w:rFonts w:cstheme="minorHAnsi"/>
        </w:rPr>
        <w:t xml:space="preserve">at the </w:t>
      </w:r>
      <w:r w:rsidR="00740596">
        <w:rPr>
          <w:rFonts w:cstheme="minorHAnsi"/>
        </w:rPr>
        <w:t>30-day</w:t>
      </w:r>
      <w:r w:rsidR="00B634AE">
        <w:rPr>
          <w:rFonts w:cstheme="minorHAnsi"/>
        </w:rPr>
        <w:t xml:space="preserve"> </w:t>
      </w:r>
      <w:r w:rsidR="00740596">
        <w:rPr>
          <w:rFonts w:cstheme="minorHAnsi"/>
        </w:rPr>
        <w:t>baseline</w:t>
      </w:r>
      <w:r w:rsidR="00B634AE">
        <w:rPr>
          <w:rFonts w:cstheme="minorHAnsi"/>
        </w:rPr>
        <w:t xml:space="preserve"> and the </w:t>
      </w:r>
      <w:r w:rsidR="00740596">
        <w:rPr>
          <w:rFonts w:cstheme="minorHAnsi"/>
        </w:rPr>
        <w:t>6-month</w:t>
      </w:r>
      <w:r w:rsidR="00B634AE">
        <w:rPr>
          <w:rFonts w:cstheme="minorHAnsi"/>
        </w:rPr>
        <w:t xml:space="preserve"> follow-up as well as by participants enrolled in the online activity who recruited patients to complete pre-post </w:t>
      </w:r>
      <w:r w:rsidR="00BF5558">
        <w:rPr>
          <w:rFonts w:cstheme="minorHAnsi"/>
        </w:rPr>
        <w:t xml:space="preserve">QOL </w:t>
      </w:r>
      <w:r w:rsidR="00B634AE">
        <w:rPr>
          <w:rFonts w:cstheme="minorHAnsi"/>
        </w:rPr>
        <w:t>questionnaires.</w:t>
      </w:r>
      <w:r w:rsidRPr="00642F62">
        <w:rPr>
          <w:rFonts w:cstheme="minorHAnsi"/>
          <w:b/>
        </w:rPr>
        <w:br/>
      </w:r>
    </w:p>
    <w:p w14:paraId="59370176" w14:textId="69DF55C7" w:rsidR="009118D7" w:rsidRDefault="009118D7" w:rsidP="009118D7">
      <w:pPr>
        <w:spacing w:after="0" w:line="240" w:lineRule="auto"/>
        <w:rPr>
          <w:i/>
          <w:iCs/>
          <w:u w:val="single"/>
        </w:rPr>
      </w:pPr>
      <w:r w:rsidRPr="009118D7">
        <w:rPr>
          <w:i/>
          <w:u w:val="single"/>
        </w:rPr>
        <w:t>Participant Follow-up Questionnaire</w:t>
      </w:r>
    </w:p>
    <w:p w14:paraId="5180920A" w14:textId="77777777" w:rsidR="009118D7" w:rsidRPr="0077124E" w:rsidRDefault="009118D7" w:rsidP="009118D7">
      <w:pPr>
        <w:numPr>
          <w:ilvl w:val="0"/>
          <w:numId w:val="5"/>
        </w:numPr>
        <w:spacing w:after="0" w:line="240" w:lineRule="auto"/>
      </w:pPr>
      <w:r w:rsidRPr="0077124E">
        <w:t>Retention of knowledge and confidence</w:t>
      </w:r>
      <w:r w:rsidRPr="0077124E">
        <w:rPr>
          <w:i/>
          <w:iCs/>
        </w:rPr>
        <w:t xml:space="preserve"> </w:t>
      </w:r>
    </w:p>
    <w:p w14:paraId="6439A3FA" w14:textId="4E96A8EB" w:rsidR="009118D7" w:rsidRPr="009118D7" w:rsidRDefault="00A832FC" w:rsidP="009118D7">
      <w:pPr>
        <w:spacing w:after="0" w:line="240" w:lineRule="auto"/>
        <w:rPr>
          <w:i/>
          <w:iCs/>
          <w:u w:val="single"/>
        </w:rPr>
      </w:pPr>
      <w:r>
        <w:br/>
      </w:r>
      <w:r w:rsidR="00B634AE">
        <w:t xml:space="preserve">The measure above was to </w:t>
      </w:r>
      <w:r>
        <w:t xml:space="preserve">measure </w:t>
      </w:r>
      <w:r w:rsidR="007E22E9">
        <w:t xml:space="preserve">the retention of </w:t>
      </w:r>
      <w:r>
        <w:t xml:space="preserve">knowledge and confidence </w:t>
      </w:r>
      <w:r w:rsidR="007E22E9">
        <w:t xml:space="preserve">obtained at the workshop at the </w:t>
      </w:r>
      <w:r>
        <w:t xml:space="preserve">completion of the </w:t>
      </w:r>
      <w:r w:rsidR="00740596">
        <w:t>6-month</w:t>
      </w:r>
      <w:r>
        <w:t xml:space="preserve"> follow-up.</w:t>
      </w:r>
    </w:p>
    <w:p w14:paraId="403C75EB" w14:textId="225957EC" w:rsidR="007B5BA7" w:rsidRPr="007E22E9" w:rsidRDefault="00023C8F" w:rsidP="00023C8F">
      <w:pPr>
        <w:autoSpaceDE w:val="0"/>
        <w:autoSpaceDN w:val="0"/>
        <w:adjustRightInd w:val="0"/>
        <w:spacing w:after="0" w:line="240" w:lineRule="auto"/>
        <w:rPr>
          <w:b/>
        </w:rPr>
      </w:pPr>
      <w:r w:rsidRPr="00A72F9F">
        <w:br/>
      </w:r>
      <w:r w:rsidR="00012B2E" w:rsidRPr="000800F2">
        <w:rPr>
          <w:b/>
        </w:rPr>
        <w:t>Analysis</w:t>
      </w:r>
      <w:r w:rsidR="00D27247" w:rsidRPr="000800F2">
        <w:rPr>
          <w:b/>
        </w:rPr>
        <w:br/>
      </w:r>
      <w:r w:rsidR="007B5BA7" w:rsidRPr="007E22E9">
        <w:rPr>
          <w:b/>
        </w:rPr>
        <w:t>a.  Qualitative and quantitative methods used to draw </w:t>
      </w:r>
      <w:hyperlink r:id="rId29" w:anchor="Inferences" w:history="1">
        <w:r w:rsidR="007B5BA7" w:rsidRPr="007E22E9">
          <w:rPr>
            <w:rStyle w:val="Hyperlink"/>
            <w:b/>
          </w:rPr>
          <w:t>inferences</w:t>
        </w:r>
      </w:hyperlink>
      <w:r w:rsidR="007B5BA7" w:rsidRPr="007E22E9">
        <w:rPr>
          <w:b/>
        </w:rPr>
        <w:t> from the data</w:t>
      </w:r>
    </w:p>
    <w:p w14:paraId="7398E5DC" w14:textId="04DB159E" w:rsidR="00E773E8" w:rsidRPr="00CE1E16" w:rsidRDefault="00E773E8" w:rsidP="00E773E8">
      <w:pPr>
        <w:autoSpaceDE w:val="0"/>
        <w:autoSpaceDN w:val="0"/>
        <w:adjustRightInd w:val="0"/>
        <w:spacing w:after="0" w:line="240" w:lineRule="auto"/>
        <w:rPr>
          <w:rFonts w:ascii="Calibri" w:hAnsi="Calibri" w:cs="Calibri"/>
        </w:rPr>
      </w:pPr>
      <w:bookmarkStart w:id="22" w:name="_Hlk6908889"/>
      <w:r w:rsidRPr="00E773E8">
        <w:t xml:space="preserve">Qualitative and quantitative methods used to </w:t>
      </w:r>
      <w:r w:rsidRPr="00E773E8">
        <w:rPr>
          <w:color w:val="000000" w:themeColor="text1"/>
        </w:rPr>
        <w:t>draw </w:t>
      </w:r>
      <w:hyperlink r:id="rId30" w:anchor="Inferences" w:history="1">
        <w:r w:rsidRPr="00E773E8">
          <w:rPr>
            <w:rStyle w:val="Hyperlink"/>
            <w:color w:val="000000" w:themeColor="text1"/>
            <w:u w:val="none"/>
          </w:rPr>
          <w:t>inferences</w:t>
        </w:r>
      </w:hyperlink>
      <w:r w:rsidRPr="00E773E8">
        <w:t> from the data</w:t>
      </w:r>
      <w:r>
        <w:t xml:space="preserve"> were developed for the project and are detailed below. </w:t>
      </w:r>
      <w:r w:rsidRPr="00E773E8">
        <w:rPr>
          <w:rFonts w:ascii="Calibri" w:hAnsi="Calibri" w:cs="Calibri"/>
        </w:rPr>
        <w:t xml:space="preserve">However, prior to the completion of this project, </w:t>
      </w:r>
      <w:r>
        <w:rPr>
          <w:rFonts w:ascii="Calibri" w:hAnsi="Calibri" w:cs="Calibri"/>
        </w:rPr>
        <w:t xml:space="preserve">staff identified to perform these analytics </w:t>
      </w:r>
      <w:r w:rsidR="00621DD5">
        <w:rPr>
          <w:rFonts w:ascii="Calibri" w:hAnsi="Calibri" w:cs="Calibri"/>
        </w:rPr>
        <w:t>are no longer with</w:t>
      </w:r>
      <w:r>
        <w:rPr>
          <w:rFonts w:ascii="Calibri" w:hAnsi="Calibri" w:cs="Calibri"/>
        </w:rPr>
        <w:t xml:space="preserve"> the AAD and these comparison</w:t>
      </w:r>
      <w:r w:rsidR="00700654">
        <w:rPr>
          <w:rFonts w:ascii="Calibri" w:hAnsi="Calibri" w:cs="Calibri"/>
        </w:rPr>
        <w:t>s</w:t>
      </w:r>
      <w:r>
        <w:rPr>
          <w:rFonts w:ascii="Calibri" w:hAnsi="Calibri" w:cs="Calibri"/>
        </w:rPr>
        <w:t xml:space="preserve"> </w:t>
      </w:r>
      <w:r w:rsidR="00700654">
        <w:rPr>
          <w:rFonts w:ascii="Calibri" w:hAnsi="Calibri" w:cs="Calibri"/>
        </w:rPr>
        <w:t>are</w:t>
      </w:r>
      <w:r w:rsidR="00700654" w:rsidRPr="00E773E8">
        <w:rPr>
          <w:rFonts w:ascii="Calibri" w:hAnsi="Calibri" w:cs="Calibri"/>
        </w:rPr>
        <w:t xml:space="preserve"> </w:t>
      </w:r>
      <w:r w:rsidRPr="00E773E8">
        <w:rPr>
          <w:rFonts w:ascii="Calibri" w:hAnsi="Calibri" w:cs="Calibri"/>
        </w:rPr>
        <w:t>not able to be conducted.</w:t>
      </w:r>
      <w:r>
        <w:rPr>
          <w:rFonts w:ascii="Calibri" w:hAnsi="Calibri" w:cs="Calibri"/>
        </w:rPr>
        <w:t xml:space="preserve"> </w:t>
      </w:r>
    </w:p>
    <w:p w14:paraId="5B197D9D" w14:textId="0BDE33B2" w:rsidR="009118D7" w:rsidRPr="000800F2" w:rsidRDefault="00E773E8" w:rsidP="009118D7">
      <w:pPr>
        <w:autoSpaceDE w:val="0"/>
        <w:autoSpaceDN w:val="0"/>
        <w:adjustRightInd w:val="0"/>
        <w:spacing w:after="0" w:line="240" w:lineRule="auto"/>
        <w:rPr>
          <w:rFonts w:cstheme="minorHAnsi"/>
          <w:i/>
          <w:iCs/>
        </w:rPr>
      </w:pPr>
      <w:r>
        <w:rPr>
          <w:rFonts w:cstheme="minorHAnsi"/>
          <w:i/>
          <w:iCs/>
        </w:rPr>
        <w:br/>
      </w:r>
      <w:r w:rsidR="009118D7" w:rsidRPr="000800F2">
        <w:rPr>
          <w:rFonts w:cstheme="minorHAnsi"/>
          <w:i/>
          <w:iCs/>
        </w:rPr>
        <w:t>Pre- Post</w:t>
      </w:r>
      <w:r w:rsidR="00644965">
        <w:rPr>
          <w:rFonts w:cstheme="minorHAnsi"/>
          <w:i/>
          <w:iCs/>
        </w:rPr>
        <w:t xml:space="preserve"> </w:t>
      </w:r>
      <w:r w:rsidR="009118D7" w:rsidRPr="000800F2">
        <w:rPr>
          <w:rFonts w:cstheme="minorHAnsi"/>
          <w:i/>
          <w:iCs/>
        </w:rPr>
        <w:t>Questionnaire</w:t>
      </w:r>
    </w:p>
    <w:p w14:paraId="7BF4CD2B" w14:textId="77777777" w:rsidR="009118D7" w:rsidRPr="000800F2" w:rsidRDefault="009118D7" w:rsidP="009118D7">
      <w:pPr>
        <w:autoSpaceDE w:val="0"/>
        <w:autoSpaceDN w:val="0"/>
        <w:adjustRightInd w:val="0"/>
        <w:spacing w:after="0" w:line="240" w:lineRule="auto"/>
        <w:rPr>
          <w:rFonts w:cstheme="minorHAnsi"/>
        </w:rPr>
      </w:pPr>
      <w:r w:rsidRPr="000800F2">
        <w:rPr>
          <w:rFonts w:cstheme="minorHAnsi"/>
        </w:rPr>
        <w:t xml:space="preserve">Immediately prior to the start of </w:t>
      </w:r>
      <w:r>
        <w:rPr>
          <w:rFonts w:cstheme="minorHAnsi"/>
        </w:rPr>
        <w:t>a</w:t>
      </w:r>
      <w:r w:rsidRPr="000800F2">
        <w:rPr>
          <w:rFonts w:cstheme="minorHAnsi"/>
        </w:rPr>
        <w:t xml:space="preserve"> workshop, participants complete</w:t>
      </w:r>
      <w:r>
        <w:rPr>
          <w:rFonts w:cstheme="minorHAnsi"/>
        </w:rPr>
        <w:t>d</w:t>
      </w:r>
      <w:r w:rsidRPr="000800F2">
        <w:rPr>
          <w:rFonts w:cstheme="minorHAnsi"/>
        </w:rPr>
        <w:t xml:space="preserve"> a pre-questionnaire</w:t>
      </w:r>
    </w:p>
    <w:p w14:paraId="444584AC" w14:textId="24C37BA7" w:rsidR="009118D7" w:rsidRPr="00CE1E16" w:rsidRDefault="009118D7" w:rsidP="00482B6E">
      <w:pPr>
        <w:autoSpaceDE w:val="0"/>
        <w:autoSpaceDN w:val="0"/>
        <w:adjustRightInd w:val="0"/>
        <w:spacing w:after="0" w:line="240" w:lineRule="auto"/>
        <w:rPr>
          <w:rFonts w:ascii="Calibri" w:hAnsi="Calibri" w:cs="Calibri"/>
        </w:rPr>
      </w:pPr>
      <w:r w:rsidRPr="000800F2">
        <w:rPr>
          <w:rFonts w:cstheme="minorHAnsi"/>
        </w:rPr>
        <w:t>via an ARS using a unique identifier number to measure their baseline knowledge and</w:t>
      </w:r>
      <w:r>
        <w:rPr>
          <w:rFonts w:cstheme="minorHAnsi"/>
        </w:rPr>
        <w:t xml:space="preserve"> c</w:t>
      </w:r>
      <w:r w:rsidRPr="000800F2">
        <w:rPr>
          <w:rFonts w:cstheme="minorHAnsi"/>
        </w:rPr>
        <w:t>ompetence through multiple-choice, case-based clinical questions. Their baseline</w:t>
      </w:r>
      <w:r w:rsidR="00CA7622">
        <w:rPr>
          <w:rFonts w:cstheme="minorHAnsi"/>
        </w:rPr>
        <w:t xml:space="preserve"> </w:t>
      </w:r>
      <w:r w:rsidRPr="000800F2">
        <w:rPr>
          <w:rFonts w:cstheme="minorHAnsi"/>
        </w:rPr>
        <w:t xml:space="preserve">confidence </w:t>
      </w:r>
      <w:r>
        <w:rPr>
          <w:rFonts w:cstheme="minorHAnsi"/>
        </w:rPr>
        <w:t>was</w:t>
      </w:r>
      <w:r w:rsidRPr="000800F2">
        <w:rPr>
          <w:rFonts w:cstheme="minorHAnsi"/>
        </w:rPr>
        <w:t xml:space="preserve"> measured at the same time using 5-point Likert scale-based questions.</w:t>
      </w:r>
      <w:r w:rsidR="00482B6E">
        <w:rPr>
          <w:rFonts w:cstheme="minorHAnsi"/>
        </w:rPr>
        <w:t xml:space="preserve"> </w:t>
      </w:r>
      <w:r w:rsidRPr="000800F2">
        <w:rPr>
          <w:rFonts w:cstheme="minorHAnsi"/>
        </w:rPr>
        <w:t xml:space="preserve">Finally, the </w:t>
      </w:r>
      <w:r w:rsidR="00740596" w:rsidRPr="000800F2">
        <w:rPr>
          <w:rFonts w:cstheme="minorHAnsi"/>
        </w:rPr>
        <w:t>participants</w:t>
      </w:r>
      <w:r w:rsidRPr="000800F2">
        <w:rPr>
          <w:rFonts w:cstheme="minorHAnsi"/>
        </w:rPr>
        <w:t xml:space="preserve"> self-report</w:t>
      </w:r>
      <w:r>
        <w:rPr>
          <w:rFonts w:cstheme="minorHAnsi"/>
        </w:rPr>
        <w:t>ed</w:t>
      </w:r>
      <w:r w:rsidRPr="000800F2">
        <w:rPr>
          <w:rFonts w:cstheme="minorHAnsi"/>
        </w:rPr>
        <w:t xml:space="preserve"> their current practice patterns by answering polar and</w:t>
      </w:r>
      <w:r w:rsidR="00482B6E">
        <w:rPr>
          <w:rFonts w:cstheme="minorHAnsi"/>
        </w:rPr>
        <w:t xml:space="preserve"> </w:t>
      </w:r>
      <w:r w:rsidRPr="000800F2">
        <w:rPr>
          <w:rFonts w:cstheme="minorHAnsi"/>
        </w:rPr>
        <w:t>checklist questions regarding how they perform assessment of psoriasis, PsA, and QOL. These</w:t>
      </w:r>
      <w:r w:rsidR="00482B6E">
        <w:rPr>
          <w:rFonts w:cstheme="minorHAnsi"/>
        </w:rPr>
        <w:t xml:space="preserve"> </w:t>
      </w:r>
      <w:r w:rsidRPr="000800F2">
        <w:rPr>
          <w:rFonts w:cstheme="minorHAnsi"/>
        </w:rPr>
        <w:t xml:space="preserve">baseline data </w:t>
      </w:r>
      <w:r w:rsidR="00CA7622">
        <w:rPr>
          <w:rFonts w:cstheme="minorHAnsi"/>
        </w:rPr>
        <w:t xml:space="preserve">were to allow us </w:t>
      </w:r>
      <w:r w:rsidRPr="000800F2">
        <w:rPr>
          <w:rFonts w:cstheme="minorHAnsi"/>
        </w:rPr>
        <w:t>to identify knowledge, competence, confidence, and practice gaps</w:t>
      </w:r>
      <w:r w:rsidR="00482B6E">
        <w:rPr>
          <w:rFonts w:cstheme="minorHAnsi"/>
        </w:rPr>
        <w:t xml:space="preserve"> </w:t>
      </w:r>
      <w:r w:rsidRPr="000800F2">
        <w:rPr>
          <w:rFonts w:cstheme="minorHAnsi"/>
        </w:rPr>
        <w:t>based on results that fall below 70% for the preferred responses.</w:t>
      </w:r>
      <w:r>
        <w:rPr>
          <w:rFonts w:cstheme="minorHAnsi"/>
        </w:rPr>
        <w:t xml:space="preserve">  </w:t>
      </w:r>
      <w:r w:rsidRPr="000800F2">
        <w:rPr>
          <w:rFonts w:cstheme="minorHAnsi"/>
        </w:rPr>
        <w:t>At the conclusion of the workshop, participants complete</w:t>
      </w:r>
      <w:r>
        <w:rPr>
          <w:rFonts w:cstheme="minorHAnsi"/>
        </w:rPr>
        <w:t>d</w:t>
      </w:r>
      <w:r w:rsidRPr="000800F2">
        <w:rPr>
          <w:rFonts w:cstheme="minorHAnsi"/>
        </w:rPr>
        <w:t xml:space="preserve"> an ARS-based post-questionnaire</w:t>
      </w:r>
      <w:r>
        <w:rPr>
          <w:rFonts w:cstheme="minorHAnsi"/>
        </w:rPr>
        <w:t xml:space="preserve"> </w:t>
      </w:r>
      <w:r w:rsidRPr="000800F2">
        <w:rPr>
          <w:rFonts w:cstheme="minorHAnsi"/>
        </w:rPr>
        <w:t>that repeat</w:t>
      </w:r>
      <w:r>
        <w:rPr>
          <w:rFonts w:cstheme="minorHAnsi"/>
        </w:rPr>
        <w:t>ed</w:t>
      </w:r>
      <w:r w:rsidRPr="000800F2">
        <w:rPr>
          <w:rFonts w:cstheme="minorHAnsi"/>
        </w:rPr>
        <w:t xml:space="preserve"> the measures of the pre-questionnaire. Regarding practice patterns,</w:t>
      </w:r>
      <w:r>
        <w:rPr>
          <w:rFonts w:cstheme="minorHAnsi"/>
        </w:rPr>
        <w:t xml:space="preserve"> </w:t>
      </w:r>
      <w:r w:rsidRPr="000800F2">
        <w:rPr>
          <w:rFonts w:cstheme="minorHAnsi"/>
        </w:rPr>
        <w:t xml:space="preserve">the post-questionnaire </w:t>
      </w:r>
      <w:r>
        <w:rPr>
          <w:rFonts w:cstheme="minorHAnsi"/>
        </w:rPr>
        <w:t>was to</w:t>
      </w:r>
      <w:r w:rsidRPr="000800F2">
        <w:rPr>
          <w:rFonts w:cstheme="minorHAnsi"/>
        </w:rPr>
        <w:t xml:space="preserve"> measure the participants’ intent to perform assessments of</w:t>
      </w:r>
      <w:r>
        <w:rPr>
          <w:rFonts w:cstheme="minorHAnsi"/>
        </w:rPr>
        <w:t xml:space="preserve"> </w:t>
      </w:r>
      <w:r w:rsidRPr="000800F2">
        <w:rPr>
          <w:rFonts w:cstheme="minorHAnsi"/>
        </w:rPr>
        <w:t>psoriasis, PsA, and QOL as well as their intent to use assessment scales and tools in their</w:t>
      </w:r>
      <w:r>
        <w:rPr>
          <w:rFonts w:cstheme="minorHAnsi"/>
        </w:rPr>
        <w:t xml:space="preserve"> </w:t>
      </w:r>
      <w:r w:rsidRPr="000800F2">
        <w:rPr>
          <w:rFonts w:cstheme="minorHAnsi"/>
        </w:rPr>
        <w:t xml:space="preserve">practice. By comparing the pre-questionnaire results to the post-questionnaire results, we </w:t>
      </w:r>
      <w:r>
        <w:rPr>
          <w:rFonts w:cstheme="minorHAnsi"/>
        </w:rPr>
        <w:t xml:space="preserve">were to </w:t>
      </w:r>
      <w:r w:rsidRPr="000800F2">
        <w:rPr>
          <w:rFonts w:cstheme="minorHAnsi"/>
        </w:rPr>
        <w:t>determine if improvements in knowledge, competence, and confidence occurred. Pre- and</w:t>
      </w:r>
      <w:r>
        <w:rPr>
          <w:rFonts w:cstheme="minorHAnsi"/>
        </w:rPr>
        <w:t xml:space="preserve"> </w:t>
      </w:r>
      <w:r w:rsidRPr="000800F2">
        <w:rPr>
          <w:rFonts w:cstheme="minorHAnsi"/>
        </w:rPr>
        <w:t xml:space="preserve">post-questionnaire data </w:t>
      </w:r>
      <w:r>
        <w:rPr>
          <w:rFonts w:cstheme="minorHAnsi"/>
        </w:rPr>
        <w:t>were</w:t>
      </w:r>
      <w:r w:rsidRPr="000800F2">
        <w:rPr>
          <w:rFonts w:cstheme="minorHAnsi"/>
        </w:rPr>
        <w:t xml:space="preserve"> recorded by the ARS using unique identifier numbers, paired</w:t>
      </w:r>
      <w:r>
        <w:rPr>
          <w:rFonts w:cstheme="minorHAnsi"/>
        </w:rPr>
        <w:t xml:space="preserve"> </w:t>
      </w:r>
      <w:r w:rsidRPr="000800F2">
        <w:rPr>
          <w:rFonts w:cstheme="minorHAnsi"/>
        </w:rPr>
        <w:t xml:space="preserve">based on the identification numbers and </w:t>
      </w:r>
      <w:r w:rsidR="00CA7622" w:rsidRPr="00E773E8">
        <w:rPr>
          <w:rFonts w:cstheme="minorHAnsi"/>
        </w:rPr>
        <w:t>were</w:t>
      </w:r>
      <w:r w:rsidRPr="00E773E8">
        <w:rPr>
          <w:rFonts w:cstheme="minorHAnsi"/>
        </w:rPr>
        <w:t xml:space="preserve"> to be analyzed using paired t tests. As</w:t>
      </w:r>
      <w:r w:rsidRPr="000800F2">
        <w:rPr>
          <w:rFonts w:cstheme="minorHAnsi"/>
        </w:rPr>
        <w:t xml:space="preserve"> these questionnaires</w:t>
      </w:r>
      <w:r>
        <w:rPr>
          <w:rFonts w:cstheme="minorHAnsi"/>
        </w:rPr>
        <w:t xml:space="preserve"> were</w:t>
      </w:r>
      <w:r w:rsidRPr="000800F2">
        <w:rPr>
          <w:rFonts w:cstheme="minorHAnsi"/>
        </w:rPr>
        <w:t xml:space="preserve"> administered immediately prior to and following the workshop, any improvements </w:t>
      </w:r>
      <w:r w:rsidR="00CA7622">
        <w:rPr>
          <w:rFonts w:cstheme="minorHAnsi"/>
        </w:rPr>
        <w:t xml:space="preserve">would be </w:t>
      </w:r>
      <w:r>
        <w:rPr>
          <w:rFonts w:cstheme="minorHAnsi"/>
        </w:rPr>
        <w:t xml:space="preserve">assumed to be a </w:t>
      </w:r>
      <w:r w:rsidRPr="000800F2">
        <w:rPr>
          <w:rFonts w:cstheme="minorHAnsi"/>
        </w:rPr>
        <w:t>direct result from participation in the workshop.</w:t>
      </w:r>
      <w:bookmarkEnd w:id="22"/>
      <w:r w:rsidRPr="000800F2">
        <w:rPr>
          <w:rFonts w:cstheme="minorHAnsi"/>
        </w:rPr>
        <w:t xml:space="preserve"> </w:t>
      </w:r>
    </w:p>
    <w:p w14:paraId="38EB76B4" w14:textId="77777777" w:rsidR="00644965" w:rsidRDefault="00644965" w:rsidP="009118D7">
      <w:pPr>
        <w:spacing w:after="0" w:line="240" w:lineRule="auto"/>
        <w:rPr>
          <w:rFonts w:ascii="Calibri" w:hAnsi="Calibri" w:cs="Calibri"/>
          <w:i/>
          <w:iCs/>
        </w:rPr>
      </w:pPr>
    </w:p>
    <w:p w14:paraId="6F5C1E74" w14:textId="77777777" w:rsidR="00644965" w:rsidRDefault="00644965" w:rsidP="009118D7">
      <w:pPr>
        <w:spacing w:after="0" w:line="240" w:lineRule="auto"/>
        <w:rPr>
          <w:rFonts w:ascii="Calibri" w:hAnsi="Calibri" w:cs="Calibri"/>
          <w:i/>
          <w:iCs/>
        </w:rPr>
      </w:pPr>
    </w:p>
    <w:p w14:paraId="1F9906EB" w14:textId="3C3599DA" w:rsidR="009118D7" w:rsidRPr="007C5183" w:rsidRDefault="009118D7" w:rsidP="009118D7">
      <w:pPr>
        <w:spacing w:after="0" w:line="240" w:lineRule="auto"/>
        <w:rPr>
          <w:rFonts w:ascii="Calibri" w:hAnsi="Calibri" w:cs="Calibri"/>
          <w:i/>
          <w:iCs/>
        </w:rPr>
      </w:pPr>
      <w:r w:rsidRPr="007C5183">
        <w:rPr>
          <w:rFonts w:ascii="Calibri" w:hAnsi="Calibri" w:cs="Calibri"/>
          <w:i/>
          <w:iCs/>
        </w:rPr>
        <w:lastRenderedPageBreak/>
        <w:t>Workshop Evaluation</w:t>
      </w:r>
    </w:p>
    <w:p w14:paraId="3DE76D88" w14:textId="6397C710" w:rsidR="00E773E8" w:rsidRPr="00A35801" w:rsidRDefault="009118D7" w:rsidP="00E773E8">
      <w:pPr>
        <w:autoSpaceDE w:val="0"/>
        <w:autoSpaceDN w:val="0"/>
        <w:adjustRightInd w:val="0"/>
        <w:spacing w:after="0" w:line="240" w:lineRule="auto"/>
        <w:rPr>
          <w:rFonts w:cstheme="minorHAnsi"/>
        </w:rPr>
      </w:pPr>
      <w:r w:rsidRPr="00CE1E16">
        <w:rPr>
          <w:rFonts w:ascii="Calibri" w:hAnsi="Calibri" w:cs="Calibri"/>
        </w:rPr>
        <w:t>Participants also complete</w:t>
      </w:r>
      <w:r>
        <w:rPr>
          <w:rFonts w:ascii="Calibri" w:hAnsi="Calibri" w:cs="Calibri"/>
        </w:rPr>
        <w:t>d</w:t>
      </w:r>
      <w:r w:rsidRPr="00CE1E16">
        <w:rPr>
          <w:rFonts w:ascii="Calibri" w:hAnsi="Calibri" w:cs="Calibri"/>
        </w:rPr>
        <w:t xml:space="preserve"> an evaluation of the workshop within the AAD’s meeting</w:t>
      </w:r>
      <w:r w:rsidR="00482B6E">
        <w:rPr>
          <w:rFonts w:ascii="Calibri" w:hAnsi="Calibri" w:cs="Calibri"/>
        </w:rPr>
        <w:t xml:space="preserve"> </w:t>
      </w:r>
      <w:r w:rsidRPr="00CE1E16">
        <w:rPr>
          <w:rFonts w:ascii="Calibri" w:hAnsi="Calibri" w:cs="Calibri"/>
        </w:rPr>
        <w:t>evaluation system. The evaluation include</w:t>
      </w:r>
      <w:r>
        <w:rPr>
          <w:rFonts w:ascii="Calibri" w:hAnsi="Calibri" w:cs="Calibri"/>
        </w:rPr>
        <w:t xml:space="preserve">d </w:t>
      </w:r>
      <w:r w:rsidRPr="00CE1E16">
        <w:rPr>
          <w:rFonts w:ascii="Calibri" w:hAnsi="Calibri" w:cs="Calibri"/>
        </w:rPr>
        <w:t>5-point Likert scale-based questions to measure</w:t>
      </w:r>
      <w:r w:rsidR="00482B6E">
        <w:rPr>
          <w:rFonts w:ascii="Calibri" w:hAnsi="Calibri" w:cs="Calibri"/>
        </w:rPr>
        <w:t xml:space="preserve"> </w:t>
      </w:r>
      <w:r w:rsidRPr="00CE1E16">
        <w:rPr>
          <w:rFonts w:ascii="Calibri" w:hAnsi="Calibri" w:cs="Calibri"/>
        </w:rPr>
        <w:t>the amount participants felt their knowledge increased as a result of participating in the</w:t>
      </w:r>
      <w:r w:rsidR="00482B6E">
        <w:rPr>
          <w:rFonts w:ascii="Calibri" w:hAnsi="Calibri" w:cs="Calibri"/>
        </w:rPr>
        <w:t xml:space="preserve"> </w:t>
      </w:r>
      <w:r w:rsidRPr="00CE1E16">
        <w:rPr>
          <w:rFonts w:ascii="Calibri" w:hAnsi="Calibri" w:cs="Calibri"/>
        </w:rPr>
        <w:t>workshop and how strong of an impact they felt the workshop would have on their clinical</w:t>
      </w:r>
      <w:r w:rsidR="00482B6E">
        <w:rPr>
          <w:rFonts w:ascii="Calibri" w:hAnsi="Calibri" w:cs="Calibri"/>
        </w:rPr>
        <w:t xml:space="preserve"> </w:t>
      </w:r>
      <w:r w:rsidRPr="00E773E8">
        <w:rPr>
          <w:rFonts w:ascii="Calibri" w:hAnsi="Calibri" w:cs="Calibri"/>
        </w:rPr>
        <w:t>practice. The perception of increased knowledge data was to be correlated with actual</w:t>
      </w:r>
      <w:r w:rsidR="00482B6E" w:rsidRPr="00E773E8">
        <w:rPr>
          <w:rFonts w:ascii="Calibri" w:hAnsi="Calibri" w:cs="Calibri"/>
        </w:rPr>
        <w:t xml:space="preserve"> </w:t>
      </w:r>
      <w:r w:rsidRPr="00E773E8">
        <w:rPr>
          <w:rFonts w:ascii="Calibri" w:hAnsi="Calibri" w:cs="Calibri"/>
        </w:rPr>
        <w:t>improvements in knowledge determined from the pre- and post-questionnaire using single and</w:t>
      </w:r>
      <w:r w:rsidR="00482B6E" w:rsidRPr="00E773E8">
        <w:rPr>
          <w:rFonts w:ascii="Calibri" w:hAnsi="Calibri" w:cs="Calibri"/>
        </w:rPr>
        <w:t xml:space="preserve"> </w:t>
      </w:r>
      <w:r w:rsidRPr="00E773E8">
        <w:rPr>
          <w:rFonts w:ascii="Calibri" w:hAnsi="Calibri" w:cs="Calibri"/>
        </w:rPr>
        <w:t>multiple regression analyses.</w:t>
      </w:r>
      <w:r>
        <w:rPr>
          <w:rFonts w:ascii="Calibri" w:hAnsi="Calibri" w:cs="Calibri"/>
        </w:rPr>
        <w:t xml:space="preserve"> </w:t>
      </w:r>
      <w:bookmarkStart w:id="23" w:name="_Hlk6908394"/>
      <w:r w:rsidR="00E773E8">
        <w:rPr>
          <w:rFonts w:ascii="Calibri" w:hAnsi="Calibri" w:cs="Calibri"/>
        </w:rPr>
        <w:br/>
      </w:r>
      <w:r w:rsidR="00E773E8">
        <w:rPr>
          <w:rFonts w:ascii="Calibri" w:hAnsi="Calibri" w:cs="Calibri"/>
        </w:rPr>
        <w:br/>
      </w:r>
      <w:r w:rsidR="000D036A">
        <w:rPr>
          <w:rFonts w:cstheme="minorHAnsi"/>
        </w:rPr>
        <w:t xml:space="preserve">The </w:t>
      </w:r>
      <w:r w:rsidR="00E773E8">
        <w:rPr>
          <w:rFonts w:cstheme="minorHAnsi"/>
        </w:rPr>
        <w:t xml:space="preserve">outcomes </w:t>
      </w:r>
      <w:r w:rsidR="000D036A">
        <w:rPr>
          <w:rFonts w:cstheme="minorHAnsi"/>
        </w:rPr>
        <w:t xml:space="preserve">to be analyzed below </w:t>
      </w:r>
      <w:r w:rsidR="00E773E8">
        <w:rPr>
          <w:rFonts w:cstheme="minorHAnsi"/>
        </w:rPr>
        <w:t xml:space="preserve">were not realized due to lack of participation in the post workshop implementation </w:t>
      </w:r>
      <w:r w:rsidR="000D036A">
        <w:rPr>
          <w:rFonts w:cstheme="minorHAnsi"/>
        </w:rPr>
        <w:t xml:space="preserve">activities and online activity. </w:t>
      </w:r>
      <w:r w:rsidR="00E773E8">
        <w:rPr>
          <w:rFonts w:cstheme="minorHAnsi"/>
        </w:rPr>
        <w:t xml:space="preserve"> </w:t>
      </w:r>
    </w:p>
    <w:p w14:paraId="57C90832" w14:textId="6420158B" w:rsidR="009118D7" w:rsidRPr="00CE1E16" w:rsidRDefault="009118D7" w:rsidP="009118D7">
      <w:pPr>
        <w:spacing w:after="0" w:line="240" w:lineRule="auto"/>
        <w:rPr>
          <w:rFonts w:ascii="Calibri" w:hAnsi="Calibri" w:cs="Calibri"/>
        </w:rPr>
      </w:pPr>
    </w:p>
    <w:bookmarkEnd w:id="23"/>
    <w:p w14:paraId="564C3F08" w14:textId="77777777" w:rsidR="009118D7" w:rsidRPr="00CE1E16" w:rsidRDefault="009118D7" w:rsidP="009118D7">
      <w:pPr>
        <w:spacing w:after="0" w:line="240" w:lineRule="auto"/>
        <w:rPr>
          <w:rFonts w:ascii="Calibri" w:hAnsi="Calibri" w:cs="Calibri"/>
          <w:i/>
          <w:iCs/>
        </w:rPr>
      </w:pPr>
      <w:r w:rsidRPr="00CE1E16">
        <w:rPr>
          <w:rFonts w:ascii="Calibri" w:hAnsi="Calibri" w:cs="Calibri"/>
          <w:i/>
          <w:iCs/>
        </w:rPr>
        <w:t>Chart Audit</w:t>
      </w:r>
    </w:p>
    <w:p w14:paraId="461AF0B8" w14:textId="77777777" w:rsidR="009118D7" w:rsidRPr="00CE1E16" w:rsidRDefault="009118D7" w:rsidP="009118D7">
      <w:pPr>
        <w:spacing w:after="0" w:line="240" w:lineRule="auto"/>
        <w:rPr>
          <w:rFonts w:ascii="Calibri" w:hAnsi="Calibri" w:cs="Calibri"/>
        </w:rPr>
      </w:pPr>
      <w:r w:rsidRPr="00CE1E16">
        <w:rPr>
          <w:rFonts w:ascii="Calibri" w:hAnsi="Calibri" w:cs="Calibri"/>
        </w:rPr>
        <w:t xml:space="preserve">Documented practice pattern data </w:t>
      </w:r>
      <w:r>
        <w:rPr>
          <w:rFonts w:ascii="Calibri" w:hAnsi="Calibri" w:cs="Calibri"/>
        </w:rPr>
        <w:t xml:space="preserve">was to </w:t>
      </w:r>
      <w:r w:rsidRPr="00CE1E16">
        <w:rPr>
          <w:rFonts w:ascii="Calibri" w:hAnsi="Calibri" w:cs="Calibri"/>
        </w:rPr>
        <w:t>be collected through online chart audits. Participants</w:t>
      </w:r>
    </w:p>
    <w:p w14:paraId="1291A261" w14:textId="77777777" w:rsidR="009118D7" w:rsidRPr="00CE1E16" w:rsidRDefault="009118D7" w:rsidP="009118D7">
      <w:pPr>
        <w:spacing w:after="0" w:line="240" w:lineRule="auto"/>
        <w:rPr>
          <w:rFonts w:ascii="Calibri" w:hAnsi="Calibri" w:cs="Calibri"/>
        </w:rPr>
      </w:pPr>
      <w:r>
        <w:rPr>
          <w:rFonts w:ascii="Calibri" w:hAnsi="Calibri" w:cs="Calibri"/>
        </w:rPr>
        <w:t>were to</w:t>
      </w:r>
      <w:r w:rsidRPr="00CE1E16">
        <w:rPr>
          <w:rFonts w:ascii="Calibri" w:hAnsi="Calibri" w:cs="Calibri"/>
        </w:rPr>
        <w:t xml:space="preserve"> answer polar and checklist questions based on their assessment of the patients’ psoriasis,</w:t>
      </w:r>
    </w:p>
    <w:p w14:paraId="780F2D6A" w14:textId="77777777" w:rsidR="009118D7" w:rsidRPr="00CE1E16" w:rsidRDefault="009118D7" w:rsidP="009118D7">
      <w:pPr>
        <w:spacing w:after="0" w:line="240" w:lineRule="auto"/>
        <w:rPr>
          <w:rFonts w:ascii="Calibri" w:hAnsi="Calibri" w:cs="Calibri"/>
        </w:rPr>
      </w:pPr>
      <w:r w:rsidRPr="00CE1E16">
        <w:rPr>
          <w:rFonts w:ascii="Calibri" w:hAnsi="Calibri" w:cs="Calibri"/>
        </w:rPr>
        <w:t xml:space="preserve">PsA, and QOL as documented in the charts. These measures </w:t>
      </w:r>
      <w:r>
        <w:rPr>
          <w:rFonts w:ascii="Calibri" w:hAnsi="Calibri" w:cs="Calibri"/>
        </w:rPr>
        <w:t>were to</w:t>
      </w:r>
      <w:r w:rsidRPr="00CE1E16">
        <w:rPr>
          <w:rFonts w:ascii="Calibri" w:hAnsi="Calibri" w:cs="Calibri"/>
        </w:rPr>
        <w:t xml:space="preserve"> be repeated in the</w:t>
      </w:r>
    </w:p>
    <w:p w14:paraId="794E34F7" w14:textId="77777777" w:rsidR="009118D7" w:rsidRPr="00CE1E16" w:rsidRDefault="009118D7" w:rsidP="009118D7">
      <w:pPr>
        <w:spacing w:after="0" w:line="240" w:lineRule="auto"/>
        <w:rPr>
          <w:rFonts w:ascii="Calibri" w:hAnsi="Calibri" w:cs="Calibri"/>
        </w:rPr>
      </w:pPr>
      <w:r w:rsidRPr="00CE1E16">
        <w:rPr>
          <w:rFonts w:ascii="Calibri" w:hAnsi="Calibri" w:cs="Calibri"/>
        </w:rPr>
        <w:t xml:space="preserve">follow-up chart audit. By comparing baseline and follow-up chart audit data, </w:t>
      </w:r>
      <w:r>
        <w:rPr>
          <w:rFonts w:ascii="Calibri" w:hAnsi="Calibri" w:cs="Calibri"/>
        </w:rPr>
        <w:t>it was to be d</w:t>
      </w:r>
      <w:r w:rsidRPr="00CE1E16">
        <w:rPr>
          <w:rFonts w:ascii="Calibri" w:hAnsi="Calibri" w:cs="Calibri"/>
        </w:rPr>
        <w:t>etermine</w:t>
      </w:r>
      <w:r>
        <w:rPr>
          <w:rFonts w:ascii="Calibri" w:hAnsi="Calibri" w:cs="Calibri"/>
        </w:rPr>
        <w:t>d</w:t>
      </w:r>
    </w:p>
    <w:p w14:paraId="4852D281" w14:textId="77777777" w:rsidR="009118D7" w:rsidRPr="00CE1E16" w:rsidRDefault="009118D7" w:rsidP="009118D7">
      <w:pPr>
        <w:spacing w:after="0" w:line="240" w:lineRule="auto"/>
        <w:rPr>
          <w:rFonts w:ascii="Calibri" w:hAnsi="Calibri" w:cs="Calibri"/>
        </w:rPr>
      </w:pPr>
      <w:r w:rsidRPr="00CE1E16">
        <w:rPr>
          <w:rFonts w:ascii="Calibri" w:hAnsi="Calibri" w:cs="Calibri"/>
        </w:rPr>
        <w:t>if improvements in the assessment of patients’ psoriasis, PsA, and QOL, and in the use of</w:t>
      </w:r>
    </w:p>
    <w:p w14:paraId="2C62728F" w14:textId="77777777" w:rsidR="009118D7" w:rsidRPr="00CE1E16" w:rsidRDefault="009118D7" w:rsidP="009118D7">
      <w:pPr>
        <w:spacing w:after="0" w:line="240" w:lineRule="auto"/>
        <w:rPr>
          <w:rFonts w:ascii="Calibri" w:hAnsi="Calibri" w:cs="Calibri"/>
        </w:rPr>
      </w:pPr>
      <w:r w:rsidRPr="00CE1E16">
        <w:rPr>
          <w:rFonts w:ascii="Calibri" w:hAnsi="Calibri" w:cs="Calibri"/>
        </w:rPr>
        <w:t xml:space="preserve">assessment scales and tools occurred. As the data extracted from the patient charts </w:t>
      </w:r>
      <w:r>
        <w:rPr>
          <w:rFonts w:ascii="Calibri" w:hAnsi="Calibri" w:cs="Calibri"/>
        </w:rPr>
        <w:t>would</w:t>
      </w:r>
      <w:r w:rsidRPr="00CE1E16">
        <w:rPr>
          <w:rFonts w:ascii="Calibri" w:hAnsi="Calibri" w:cs="Calibri"/>
        </w:rPr>
        <w:t xml:space="preserve"> not</w:t>
      </w:r>
    </w:p>
    <w:p w14:paraId="57D1ADAB" w14:textId="77777777" w:rsidR="009118D7" w:rsidRPr="00CE1E16" w:rsidRDefault="009118D7" w:rsidP="009118D7">
      <w:pPr>
        <w:spacing w:after="0" w:line="240" w:lineRule="auto"/>
        <w:rPr>
          <w:rFonts w:ascii="Calibri" w:hAnsi="Calibri" w:cs="Calibri"/>
        </w:rPr>
      </w:pPr>
      <w:r w:rsidRPr="00CE1E16">
        <w:rPr>
          <w:rFonts w:ascii="Calibri" w:hAnsi="Calibri" w:cs="Calibri"/>
        </w:rPr>
        <w:t>contain any patient identifier information in accordance with the Health Insurance Portability</w:t>
      </w:r>
    </w:p>
    <w:p w14:paraId="0050867E" w14:textId="1B55219D" w:rsidR="009118D7" w:rsidRPr="007C5183" w:rsidRDefault="009118D7" w:rsidP="00644965">
      <w:pPr>
        <w:spacing w:after="0" w:line="240" w:lineRule="auto"/>
        <w:rPr>
          <w:rFonts w:ascii="Calibri" w:hAnsi="Calibri" w:cs="Calibri"/>
        </w:rPr>
      </w:pPr>
      <w:r w:rsidRPr="00CE1E16">
        <w:rPr>
          <w:rFonts w:ascii="Calibri" w:hAnsi="Calibri" w:cs="Calibri"/>
        </w:rPr>
        <w:t xml:space="preserve">and Accountability Act (HIPAA) and </w:t>
      </w:r>
      <w:r w:rsidR="00CA61E0">
        <w:rPr>
          <w:rFonts w:ascii="Calibri" w:hAnsi="Calibri" w:cs="Calibri"/>
        </w:rPr>
        <w:t>could not</w:t>
      </w:r>
      <w:r w:rsidR="00CA61E0" w:rsidRPr="00CE1E16">
        <w:rPr>
          <w:rFonts w:ascii="Calibri" w:hAnsi="Calibri" w:cs="Calibri"/>
        </w:rPr>
        <w:t xml:space="preserve"> </w:t>
      </w:r>
      <w:r w:rsidRPr="00CE1E16">
        <w:rPr>
          <w:rFonts w:ascii="Calibri" w:hAnsi="Calibri" w:cs="Calibri"/>
        </w:rPr>
        <w:t xml:space="preserve">be paired, these data </w:t>
      </w:r>
      <w:r>
        <w:rPr>
          <w:rFonts w:ascii="Calibri" w:hAnsi="Calibri" w:cs="Calibri"/>
        </w:rPr>
        <w:t xml:space="preserve">were to </w:t>
      </w:r>
      <w:r w:rsidRPr="00CE1E16">
        <w:rPr>
          <w:rFonts w:ascii="Calibri" w:hAnsi="Calibri" w:cs="Calibri"/>
        </w:rPr>
        <w:t>be analyzed in aggregate</w:t>
      </w:r>
      <w:r w:rsidR="00CA61E0">
        <w:rPr>
          <w:rFonts w:ascii="Calibri" w:hAnsi="Calibri" w:cs="Calibri"/>
        </w:rPr>
        <w:t xml:space="preserve"> </w:t>
      </w:r>
      <w:r w:rsidRPr="007C5183">
        <w:rPr>
          <w:rFonts w:ascii="Calibri" w:hAnsi="Calibri" w:cs="Calibri"/>
        </w:rPr>
        <w:t>using 2-sample t tests. Since these measures occur outside of the workshop where other events</w:t>
      </w:r>
      <w:r w:rsidRPr="007C5183">
        <w:rPr>
          <w:rFonts w:ascii="Calibri" w:hAnsi="Calibri" w:cs="Calibri"/>
        </w:rPr>
        <w:br/>
        <w:t xml:space="preserve">could impact the outcomes, we </w:t>
      </w:r>
      <w:r>
        <w:rPr>
          <w:rFonts w:ascii="Calibri" w:hAnsi="Calibri" w:cs="Calibri"/>
        </w:rPr>
        <w:t xml:space="preserve">were to </w:t>
      </w:r>
      <w:r w:rsidRPr="007C5183">
        <w:rPr>
          <w:rFonts w:ascii="Calibri" w:hAnsi="Calibri" w:cs="Calibri"/>
        </w:rPr>
        <w:t xml:space="preserve">determine if there </w:t>
      </w:r>
      <w:r w:rsidR="00CA61E0">
        <w:rPr>
          <w:rFonts w:ascii="Calibri" w:hAnsi="Calibri" w:cs="Calibri"/>
        </w:rPr>
        <w:t>wa</w:t>
      </w:r>
      <w:r w:rsidRPr="007C5183">
        <w:rPr>
          <w:rFonts w:ascii="Calibri" w:hAnsi="Calibri" w:cs="Calibri"/>
        </w:rPr>
        <w:t>s an impact from participation in the</w:t>
      </w:r>
    </w:p>
    <w:p w14:paraId="2C444965" w14:textId="77777777" w:rsidR="009118D7" w:rsidRPr="007C5183" w:rsidRDefault="009118D7" w:rsidP="009118D7">
      <w:pPr>
        <w:autoSpaceDE w:val="0"/>
        <w:autoSpaceDN w:val="0"/>
        <w:adjustRightInd w:val="0"/>
        <w:spacing w:after="0" w:line="240" w:lineRule="auto"/>
        <w:rPr>
          <w:rFonts w:ascii="Calibri" w:hAnsi="Calibri" w:cs="Calibri"/>
        </w:rPr>
      </w:pPr>
      <w:r w:rsidRPr="007C5183">
        <w:rPr>
          <w:rFonts w:ascii="Calibri" w:hAnsi="Calibri" w:cs="Calibri"/>
        </w:rPr>
        <w:t xml:space="preserve">workshop by comparing the data to chart audit data from controls. These data </w:t>
      </w:r>
      <w:r>
        <w:rPr>
          <w:rFonts w:ascii="Calibri" w:hAnsi="Calibri" w:cs="Calibri"/>
        </w:rPr>
        <w:t xml:space="preserve">were </w:t>
      </w:r>
      <w:r w:rsidRPr="007C5183">
        <w:rPr>
          <w:rFonts w:ascii="Calibri" w:hAnsi="Calibri" w:cs="Calibri"/>
        </w:rPr>
        <w:t xml:space="preserve">also </w:t>
      </w:r>
      <w:r>
        <w:rPr>
          <w:rFonts w:ascii="Calibri" w:hAnsi="Calibri" w:cs="Calibri"/>
        </w:rPr>
        <w:t xml:space="preserve">to </w:t>
      </w:r>
      <w:r w:rsidRPr="007C5183">
        <w:rPr>
          <w:rFonts w:ascii="Calibri" w:hAnsi="Calibri" w:cs="Calibri"/>
        </w:rPr>
        <w:t>be</w:t>
      </w:r>
    </w:p>
    <w:p w14:paraId="52C07551" w14:textId="2BF73BB5" w:rsidR="009118D7" w:rsidRPr="00A35801" w:rsidRDefault="009118D7" w:rsidP="009118D7">
      <w:pPr>
        <w:autoSpaceDE w:val="0"/>
        <w:autoSpaceDN w:val="0"/>
        <w:adjustRightInd w:val="0"/>
        <w:spacing w:after="0" w:line="240" w:lineRule="auto"/>
        <w:rPr>
          <w:rFonts w:cstheme="minorHAnsi"/>
        </w:rPr>
      </w:pPr>
      <w:r w:rsidRPr="007C5183">
        <w:rPr>
          <w:rFonts w:ascii="Calibri" w:hAnsi="Calibri" w:cs="Calibri"/>
        </w:rPr>
        <w:t>compared to the self-assessment results from the pre-questionnaire to determine if</w:t>
      </w:r>
      <w:r>
        <w:rPr>
          <w:rFonts w:ascii="Calibri" w:hAnsi="Calibri" w:cs="Calibri"/>
        </w:rPr>
        <w:t xml:space="preserve"> </w:t>
      </w:r>
      <w:r w:rsidRPr="007C5183">
        <w:rPr>
          <w:rFonts w:ascii="Calibri" w:hAnsi="Calibri" w:cs="Calibri"/>
        </w:rPr>
        <w:t xml:space="preserve">participants </w:t>
      </w:r>
      <w:r>
        <w:rPr>
          <w:rFonts w:ascii="Calibri" w:hAnsi="Calibri" w:cs="Calibri"/>
        </w:rPr>
        <w:t>were</w:t>
      </w:r>
      <w:r w:rsidRPr="007C5183">
        <w:rPr>
          <w:rFonts w:ascii="Calibri" w:hAnsi="Calibri" w:cs="Calibri"/>
        </w:rPr>
        <w:t xml:space="preserve"> accurately self-assessing their practice, which </w:t>
      </w:r>
      <w:r w:rsidR="00CA61E0">
        <w:rPr>
          <w:rFonts w:ascii="Calibri" w:hAnsi="Calibri" w:cs="Calibri"/>
        </w:rPr>
        <w:t>wa</w:t>
      </w:r>
      <w:r w:rsidRPr="007C5183">
        <w:rPr>
          <w:rFonts w:ascii="Calibri" w:hAnsi="Calibri" w:cs="Calibri"/>
        </w:rPr>
        <w:t>s unlikely based on published</w:t>
      </w:r>
      <w:r>
        <w:rPr>
          <w:rFonts w:ascii="Calibri" w:hAnsi="Calibri" w:cs="Calibri"/>
        </w:rPr>
        <w:t xml:space="preserve"> </w:t>
      </w:r>
      <w:r w:rsidRPr="007C5183">
        <w:rPr>
          <w:rFonts w:ascii="Calibri" w:hAnsi="Calibri" w:cs="Calibri"/>
        </w:rPr>
        <w:t>reports.</w:t>
      </w:r>
      <w:r w:rsidRPr="00E6419A">
        <w:rPr>
          <w:rFonts w:ascii="Calibri" w:hAnsi="Calibri" w:cs="Calibri"/>
          <w:sz w:val="16"/>
          <w:szCs w:val="16"/>
        </w:rPr>
        <w:t>14</w:t>
      </w:r>
      <w:r w:rsidRPr="007C5183">
        <w:rPr>
          <w:rFonts w:ascii="Calibri" w:hAnsi="Calibri" w:cs="Calibri"/>
        </w:rPr>
        <w:t xml:space="preserve"> Additionally, these data </w:t>
      </w:r>
      <w:r>
        <w:rPr>
          <w:rFonts w:ascii="Calibri" w:hAnsi="Calibri" w:cs="Calibri"/>
        </w:rPr>
        <w:t xml:space="preserve">were </w:t>
      </w:r>
      <w:r w:rsidR="008307CA">
        <w:rPr>
          <w:rFonts w:ascii="Calibri" w:hAnsi="Calibri" w:cs="Calibri"/>
        </w:rPr>
        <w:t xml:space="preserve">to be </w:t>
      </w:r>
      <w:r w:rsidRPr="007C5183">
        <w:rPr>
          <w:rFonts w:ascii="Calibri" w:hAnsi="Calibri" w:cs="Calibri"/>
        </w:rPr>
        <w:t>compared with the intent to assess data from the</w:t>
      </w:r>
      <w:r>
        <w:rPr>
          <w:rFonts w:ascii="Calibri" w:hAnsi="Calibri" w:cs="Calibri"/>
        </w:rPr>
        <w:t xml:space="preserve"> </w:t>
      </w:r>
      <w:r w:rsidRPr="007C5183">
        <w:rPr>
          <w:rFonts w:ascii="Calibri" w:hAnsi="Calibri" w:cs="Calibri"/>
        </w:rPr>
        <w:t xml:space="preserve">post-questionnaire to determine if there </w:t>
      </w:r>
      <w:r w:rsidR="008307CA">
        <w:rPr>
          <w:rFonts w:ascii="Calibri" w:hAnsi="Calibri" w:cs="Calibri"/>
        </w:rPr>
        <w:t>was</w:t>
      </w:r>
      <w:r w:rsidRPr="007C5183">
        <w:rPr>
          <w:rFonts w:ascii="Calibri" w:hAnsi="Calibri" w:cs="Calibri"/>
        </w:rPr>
        <w:t xml:space="preserve"> a discrepancy between intent to improve and</w:t>
      </w:r>
      <w:r>
        <w:rPr>
          <w:rFonts w:ascii="Calibri" w:hAnsi="Calibri" w:cs="Calibri"/>
        </w:rPr>
        <w:t xml:space="preserve"> </w:t>
      </w:r>
      <w:r w:rsidRPr="007C5183">
        <w:rPr>
          <w:rFonts w:ascii="Calibri" w:hAnsi="Calibri" w:cs="Calibri"/>
        </w:rPr>
        <w:t>documented improvements.</w:t>
      </w:r>
      <w:r>
        <w:rPr>
          <w:rFonts w:ascii="Calibri" w:hAnsi="Calibri" w:cs="Calibri"/>
        </w:rPr>
        <w:t xml:space="preserve">  </w:t>
      </w:r>
    </w:p>
    <w:p w14:paraId="3C61938C" w14:textId="77777777" w:rsidR="009118D7" w:rsidRPr="001E3F9C" w:rsidRDefault="009118D7" w:rsidP="009118D7">
      <w:pPr>
        <w:autoSpaceDE w:val="0"/>
        <w:autoSpaceDN w:val="0"/>
        <w:adjustRightInd w:val="0"/>
        <w:spacing w:after="0" w:line="240" w:lineRule="auto"/>
        <w:rPr>
          <w:i/>
          <w:iCs/>
        </w:rPr>
      </w:pPr>
      <w:r w:rsidRPr="001E3F9C">
        <w:rPr>
          <w:i/>
          <w:iCs/>
        </w:rPr>
        <w:t>Patient Questionnaire</w:t>
      </w:r>
    </w:p>
    <w:p w14:paraId="066623A6" w14:textId="77777777" w:rsidR="009118D7" w:rsidRPr="001E3F9C" w:rsidRDefault="009118D7" w:rsidP="009118D7">
      <w:pPr>
        <w:spacing w:after="0" w:line="240" w:lineRule="auto"/>
      </w:pPr>
      <w:r w:rsidRPr="001E3F9C">
        <w:t xml:space="preserve">Patient perceptions of their QOL and treatment satisfaction </w:t>
      </w:r>
      <w:r>
        <w:t>were to</w:t>
      </w:r>
      <w:r w:rsidRPr="001E3F9C">
        <w:t xml:space="preserve"> be collected through baseline</w:t>
      </w:r>
    </w:p>
    <w:p w14:paraId="3CD15E79" w14:textId="780F039A" w:rsidR="009118D7" w:rsidRPr="007C5183" w:rsidRDefault="009118D7" w:rsidP="00482B6E">
      <w:pPr>
        <w:spacing w:after="0" w:line="240" w:lineRule="auto"/>
      </w:pPr>
      <w:r w:rsidRPr="001E3F9C">
        <w:t>and follow-up online questionnaires using 5-point Likert scale-based questions.</w:t>
      </w:r>
      <w:r w:rsidR="00482B6E">
        <w:t xml:space="preserve"> </w:t>
      </w:r>
      <w:r w:rsidRPr="001E3F9C">
        <w:t xml:space="preserve">Patient identification data </w:t>
      </w:r>
      <w:r>
        <w:t>would</w:t>
      </w:r>
      <w:r w:rsidRPr="001E3F9C">
        <w:t xml:space="preserve"> not be collected in accordance with HIPAA; instead, patients </w:t>
      </w:r>
      <w:r>
        <w:t>were to</w:t>
      </w:r>
      <w:r w:rsidR="00482B6E">
        <w:t xml:space="preserve"> </w:t>
      </w:r>
      <w:r w:rsidRPr="001E3F9C">
        <w:t xml:space="preserve">be provided with an identification number that </w:t>
      </w:r>
      <w:r w:rsidR="00CA61E0">
        <w:t>wa</w:t>
      </w:r>
      <w:r w:rsidRPr="001E3F9C">
        <w:t>s specific to their clinician participant. As a</w:t>
      </w:r>
      <w:r w:rsidR="00482B6E">
        <w:t xml:space="preserve"> </w:t>
      </w:r>
      <w:r w:rsidRPr="007C5183">
        <w:t xml:space="preserve">result, the patient data </w:t>
      </w:r>
      <w:r>
        <w:t>was to</w:t>
      </w:r>
      <w:r w:rsidRPr="007C5183">
        <w:t xml:space="preserve"> be analyzed in aggregate using 2-sample t tests. By comparing these</w:t>
      </w:r>
      <w:r w:rsidR="00482B6E">
        <w:t xml:space="preserve"> </w:t>
      </w:r>
      <w:r w:rsidRPr="007C5183">
        <w:t xml:space="preserve">data to control data, we </w:t>
      </w:r>
      <w:r>
        <w:t xml:space="preserve">were to </w:t>
      </w:r>
      <w:r w:rsidRPr="007C5183">
        <w:t>determine if there are observed improvements credi</w:t>
      </w:r>
      <w:r w:rsidR="00CA61E0">
        <w:t>ta</w:t>
      </w:r>
      <w:r w:rsidRPr="007C5183">
        <w:t>ble to the</w:t>
      </w:r>
      <w:r w:rsidR="00482B6E">
        <w:t xml:space="preserve"> </w:t>
      </w:r>
      <w:r w:rsidRPr="007C5183">
        <w:t xml:space="preserve">clinicians’ participation in the workshop. As these data </w:t>
      </w:r>
      <w:r>
        <w:t xml:space="preserve">were to </w:t>
      </w:r>
      <w:r w:rsidRPr="007C5183">
        <w:t>be collected using the same unique</w:t>
      </w:r>
      <w:r w:rsidR="00482B6E">
        <w:t xml:space="preserve"> </w:t>
      </w:r>
      <w:r w:rsidRPr="007C5183">
        <w:t xml:space="preserve">identifier numbers as the workshop ARS, we </w:t>
      </w:r>
      <w:r>
        <w:t>were to</w:t>
      </w:r>
      <w:r w:rsidRPr="007C5183">
        <w:t xml:space="preserve"> determine if there </w:t>
      </w:r>
      <w:r w:rsidR="00CA61E0">
        <w:t>were</w:t>
      </w:r>
      <w:r w:rsidR="00CA61E0" w:rsidRPr="007C5183">
        <w:t xml:space="preserve"> </w:t>
      </w:r>
      <w:r w:rsidRPr="007C5183">
        <w:t>correlations</w:t>
      </w:r>
      <w:r w:rsidR="00482B6E">
        <w:t xml:space="preserve"> </w:t>
      </w:r>
      <w:r w:rsidRPr="007C5183">
        <w:t>between improvements in the participants’ knowledge, competence, confidence, or</w:t>
      </w:r>
      <w:r w:rsidR="00482B6E">
        <w:t xml:space="preserve"> </w:t>
      </w:r>
      <w:r w:rsidRPr="007C5183">
        <w:t>documented practice and improvements in their patients’ QOL and treatment satisfaction using</w:t>
      </w:r>
      <w:r w:rsidR="00482B6E">
        <w:t xml:space="preserve"> </w:t>
      </w:r>
      <w:r w:rsidRPr="007C5183">
        <w:t>single and multiple regression analyses.</w:t>
      </w:r>
      <w:r>
        <w:t xml:space="preserve"> </w:t>
      </w:r>
    </w:p>
    <w:p w14:paraId="47221548" w14:textId="77777777" w:rsidR="009118D7" w:rsidRPr="007C5183" w:rsidRDefault="009118D7" w:rsidP="009118D7">
      <w:pPr>
        <w:spacing w:after="0" w:line="240" w:lineRule="auto"/>
        <w:rPr>
          <w:i/>
          <w:iCs/>
        </w:rPr>
      </w:pPr>
      <w:r w:rsidRPr="007C5183">
        <w:rPr>
          <w:i/>
          <w:iCs/>
        </w:rPr>
        <w:t>Follow-up Participant Questionnaire</w:t>
      </w:r>
    </w:p>
    <w:p w14:paraId="01975662" w14:textId="178A9D4F" w:rsidR="009118D7" w:rsidRPr="007C5183" w:rsidRDefault="009118D7" w:rsidP="009118D7">
      <w:pPr>
        <w:spacing w:after="0" w:line="240" w:lineRule="auto"/>
      </w:pPr>
      <w:r w:rsidRPr="007C5183">
        <w:t xml:space="preserve">The online follow-up questionnaire for participants </w:t>
      </w:r>
      <w:r w:rsidR="007510FF">
        <w:t>was to</w:t>
      </w:r>
      <w:r w:rsidRPr="007C5183">
        <w:t xml:space="preserve"> measure their retention of knowledge</w:t>
      </w:r>
    </w:p>
    <w:p w14:paraId="25D99E4F" w14:textId="77777777" w:rsidR="009118D7" w:rsidRPr="007C5183" w:rsidRDefault="009118D7" w:rsidP="009118D7">
      <w:pPr>
        <w:spacing w:after="0" w:line="240" w:lineRule="auto"/>
      </w:pPr>
      <w:r w:rsidRPr="007C5183">
        <w:t>and competence gained from participation in the workshop through multiple-choice, case based</w:t>
      </w:r>
    </w:p>
    <w:p w14:paraId="129A5EE1" w14:textId="4C43364F" w:rsidR="009118D7" w:rsidRPr="007C5183" w:rsidRDefault="009118D7" w:rsidP="009118D7">
      <w:pPr>
        <w:spacing w:after="0" w:line="240" w:lineRule="auto"/>
      </w:pPr>
      <w:r w:rsidRPr="007C5183">
        <w:t xml:space="preserve">clinical questions. Additionally, 5-point Likert scale-based questions </w:t>
      </w:r>
      <w:r w:rsidR="007510FF">
        <w:t xml:space="preserve">were </w:t>
      </w:r>
      <w:r w:rsidRPr="007C5183">
        <w:t>to measure the retention of confidence. These data w</w:t>
      </w:r>
      <w:r w:rsidR="00655910">
        <w:t>ere to</w:t>
      </w:r>
      <w:r w:rsidRPr="007C5183">
        <w:t xml:space="preserve"> be collected using the same unique</w:t>
      </w:r>
      <w:r w:rsidR="00482B6E">
        <w:t xml:space="preserve"> </w:t>
      </w:r>
      <w:r w:rsidRPr="007C5183">
        <w:t>identifier numbers used in workshop ARS and compared to both pre-post</w:t>
      </w:r>
      <w:r w:rsidR="00644965">
        <w:t xml:space="preserve"> </w:t>
      </w:r>
      <w:r w:rsidRPr="007C5183">
        <w:t>questionnaire</w:t>
      </w:r>
      <w:r w:rsidR="00482B6E">
        <w:t xml:space="preserve"> </w:t>
      </w:r>
      <w:r w:rsidRPr="007C5183">
        <w:t>results using paired t tests. Controls who completed the pre-post</w:t>
      </w:r>
      <w:r w:rsidR="00655910">
        <w:t xml:space="preserve"> </w:t>
      </w:r>
      <w:r w:rsidRPr="007C5183">
        <w:t>questionnaires</w:t>
      </w:r>
      <w:r w:rsidR="00482B6E">
        <w:t xml:space="preserve"> were</w:t>
      </w:r>
      <w:r w:rsidRPr="007C5183">
        <w:t xml:space="preserve"> also asked to complete this portion of the follow-up questionnaire to</w:t>
      </w:r>
      <w:r w:rsidR="00482B6E">
        <w:t xml:space="preserve"> </w:t>
      </w:r>
      <w:r w:rsidRPr="007C5183">
        <w:t>determine if there</w:t>
      </w:r>
      <w:r w:rsidR="00655910">
        <w:t xml:space="preserve"> was</w:t>
      </w:r>
      <w:r w:rsidRPr="007C5183">
        <w:t xml:space="preserve"> a relationship between retention of knowledge, competence, and</w:t>
      </w:r>
      <w:r w:rsidR="00482B6E">
        <w:t xml:space="preserve"> </w:t>
      </w:r>
      <w:r w:rsidRPr="007C5183">
        <w:t xml:space="preserve">confidence and participation in the workshop. In addition, the follow-up questionnaire </w:t>
      </w:r>
      <w:r w:rsidR="00655910">
        <w:t>was to</w:t>
      </w:r>
      <w:r w:rsidR="00482B6E">
        <w:t xml:space="preserve"> </w:t>
      </w:r>
      <w:r w:rsidRPr="007C5183">
        <w:t>include evaluation questions related to the entire blended learning experience so that</w:t>
      </w:r>
    </w:p>
    <w:p w14:paraId="47369F00" w14:textId="6546C9E5" w:rsidR="009118D7" w:rsidRPr="007C5183" w:rsidRDefault="009118D7" w:rsidP="009118D7">
      <w:pPr>
        <w:spacing w:after="0" w:line="240" w:lineRule="auto"/>
      </w:pPr>
      <w:r w:rsidRPr="007C5183">
        <w:lastRenderedPageBreak/>
        <w:t>additional improvements to the methodology and resources described here c</w:t>
      </w:r>
      <w:r w:rsidR="00655910">
        <w:t xml:space="preserve">ould </w:t>
      </w:r>
      <w:r w:rsidRPr="007C5183">
        <w:t>be made after</w:t>
      </w:r>
    </w:p>
    <w:p w14:paraId="43D22DB8" w14:textId="77777777" w:rsidR="00E773E8" w:rsidRDefault="009118D7" w:rsidP="009118D7">
      <w:pPr>
        <w:autoSpaceDE w:val="0"/>
        <w:autoSpaceDN w:val="0"/>
        <w:adjustRightInd w:val="0"/>
        <w:spacing w:after="0" w:line="240" w:lineRule="auto"/>
        <w:rPr>
          <w:rFonts w:cstheme="minorHAnsi"/>
        </w:rPr>
      </w:pPr>
      <w:r w:rsidRPr="007C5183">
        <w:t>the completion of the research project.</w:t>
      </w:r>
      <w:r w:rsidR="00482B6E" w:rsidRPr="00482B6E">
        <w:rPr>
          <w:rFonts w:cstheme="minorHAnsi"/>
        </w:rPr>
        <w:t xml:space="preserve"> </w:t>
      </w:r>
    </w:p>
    <w:p w14:paraId="3781EBA1" w14:textId="49875176" w:rsidR="00FA39C4" w:rsidRDefault="000D036A" w:rsidP="009118D7">
      <w:pPr>
        <w:autoSpaceDE w:val="0"/>
        <w:autoSpaceDN w:val="0"/>
        <w:adjustRightInd w:val="0"/>
        <w:spacing w:after="0" w:line="240" w:lineRule="auto"/>
        <w:rPr>
          <w:rFonts w:ascii="Calibri" w:hAnsi="Calibri" w:cs="Calibri"/>
        </w:rPr>
      </w:pPr>
      <w:r>
        <w:rPr>
          <w:b/>
        </w:rPr>
        <w:br/>
      </w:r>
      <w:r w:rsidR="00D27247" w:rsidRPr="00B3386A">
        <w:rPr>
          <w:b/>
        </w:rPr>
        <w:t>Ethical</w:t>
      </w:r>
      <w:r w:rsidR="00D27247">
        <w:br/>
      </w:r>
      <w:hyperlink r:id="rId31" w:anchor="Ethical_aspects" w:history="1">
        <w:r w:rsidR="00B3386A" w:rsidRPr="00B3386A">
          <w:rPr>
            <w:rStyle w:val="Hyperlink"/>
            <w:b/>
          </w:rPr>
          <w:t>Ethical aspects </w:t>
        </w:r>
      </w:hyperlink>
      <w:r w:rsidR="00B3386A" w:rsidRPr="00B3386A">
        <w:rPr>
          <w:b/>
        </w:rPr>
        <w:t>of implementing and studying the </w:t>
      </w:r>
      <w:hyperlink r:id="rId32" w:anchor="Interventions" w:history="1">
        <w:r w:rsidR="00B3386A" w:rsidRPr="00B3386A">
          <w:rPr>
            <w:rStyle w:val="Hyperlink"/>
            <w:b/>
          </w:rPr>
          <w:t>intervention(s)</w:t>
        </w:r>
      </w:hyperlink>
      <w:r w:rsidR="00B3386A" w:rsidRPr="00B3386A">
        <w:rPr>
          <w:b/>
        </w:rPr>
        <w:t> and how they were addressed, including, but not limited to, formal ethics review and potential conflict(s) of interest</w:t>
      </w:r>
      <w:r w:rsidR="00B3386A">
        <w:rPr>
          <w:b/>
        </w:rPr>
        <w:br/>
      </w:r>
      <w:r w:rsidR="008970A8" w:rsidRPr="000800F2">
        <w:rPr>
          <w:rFonts w:cstheme="minorHAnsi"/>
        </w:rPr>
        <w:t xml:space="preserve">Patient volunteers </w:t>
      </w:r>
      <w:r w:rsidR="00FA39C4">
        <w:rPr>
          <w:rFonts w:cstheme="minorHAnsi"/>
        </w:rPr>
        <w:t xml:space="preserve">who </w:t>
      </w:r>
      <w:r w:rsidR="008970A8">
        <w:rPr>
          <w:rFonts w:cstheme="minorHAnsi"/>
        </w:rPr>
        <w:t>were</w:t>
      </w:r>
      <w:r w:rsidR="008970A8" w:rsidRPr="000800F2">
        <w:rPr>
          <w:rFonts w:cstheme="minorHAnsi"/>
        </w:rPr>
        <w:t xml:space="preserve"> recruited by expert</w:t>
      </w:r>
      <w:r w:rsidR="008970A8">
        <w:rPr>
          <w:rFonts w:cstheme="minorHAnsi"/>
        </w:rPr>
        <w:t xml:space="preserve"> </w:t>
      </w:r>
      <w:r w:rsidR="008970A8" w:rsidRPr="000800F2">
        <w:rPr>
          <w:rFonts w:cstheme="minorHAnsi"/>
        </w:rPr>
        <w:t>psoriasis and PsA faculty, sign</w:t>
      </w:r>
      <w:r w:rsidR="008970A8">
        <w:rPr>
          <w:rFonts w:cstheme="minorHAnsi"/>
        </w:rPr>
        <w:t>ed</w:t>
      </w:r>
      <w:r w:rsidR="008970A8" w:rsidRPr="000800F2">
        <w:rPr>
          <w:rFonts w:cstheme="minorHAnsi"/>
        </w:rPr>
        <w:t xml:space="preserve"> all appropriate consent and release forms prior to</w:t>
      </w:r>
      <w:r w:rsidR="008970A8">
        <w:rPr>
          <w:rFonts w:cstheme="minorHAnsi"/>
        </w:rPr>
        <w:t xml:space="preserve"> </w:t>
      </w:r>
      <w:r w:rsidR="008970A8" w:rsidRPr="000800F2">
        <w:rPr>
          <w:rFonts w:cstheme="minorHAnsi"/>
        </w:rPr>
        <w:t>participation</w:t>
      </w:r>
      <w:r w:rsidR="00FA39C4">
        <w:rPr>
          <w:rFonts w:cstheme="minorHAnsi"/>
        </w:rPr>
        <w:t xml:space="preserve"> in  live workshop</w:t>
      </w:r>
      <w:r w:rsidR="00CA61E0">
        <w:rPr>
          <w:rFonts w:cstheme="minorHAnsi"/>
        </w:rPr>
        <w:t>s</w:t>
      </w:r>
      <w:r w:rsidR="008970A8" w:rsidRPr="000800F2">
        <w:rPr>
          <w:rFonts w:cstheme="minorHAnsi"/>
        </w:rPr>
        <w:t xml:space="preserve">. The </w:t>
      </w:r>
      <w:r w:rsidR="00A92213">
        <w:rPr>
          <w:rFonts w:cstheme="minorHAnsi"/>
        </w:rPr>
        <w:t xml:space="preserve">live </w:t>
      </w:r>
      <w:r w:rsidR="008970A8" w:rsidRPr="000800F2">
        <w:rPr>
          <w:rFonts w:cstheme="minorHAnsi"/>
        </w:rPr>
        <w:t xml:space="preserve">patient demonstrations </w:t>
      </w:r>
      <w:r w:rsidR="00A92213">
        <w:rPr>
          <w:rFonts w:cstheme="minorHAnsi"/>
        </w:rPr>
        <w:t xml:space="preserve">during the workshop </w:t>
      </w:r>
      <w:r w:rsidR="008970A8">
        <w:rPr>
          <w:rFonts w:cstheme="minorHAnsi"/>
        </w:rPr>
        <w:t>were</w:t>
      </w:r>
      <w:r w:rsidR="008970A8" w:rsidRPr="000800F2">
        <w:rPr>
          <w:rFonts w:cstheme="minorHAnsi"/>
        </w:rPr>
        <w:t xml:space="preserve"> followed by patient case vignettes featuring</w:t>
      </w:r>
      <w:r w:rsidR="008970A8">
        <w:rPr>
          <w:rFonts w:cstheme="minorHAnsi"/>
        </w:rPr>
        <w:t xml:space="preserve"> </w:t>
      </w:r>
      <w:r w:rsidR="008970A8" w:rsidRPr="000800F2">
        <w:rPr>
          <w:rFonts w:cstheme="minorHAnsi"/>
        </w:rPr>
        <w:t>patient videos or photographs</w:t>
      </w:r>
      <w:r w:rsidR="00A92213">
        <w:rPr>
          <w:rFonts w:cstheme="minorHAnsi"/>
        </w:rPr>
        <w:t xml:space="preserve">. </w:t>
      </w:r>
      <w:r w:rsidR="008970A8" w:rsidRPr="000800F2">
        <w:rPr>
          <w:rFonts w:cstheme="minorHAnsi"/>
        </w:rPr>
        <w:t xml:space="preserve"> All patient photographs and/or videos used in the</w:t>
      </w:r>
      <w:r w:rsidR="00316896">
        <w:rPr>
          <w:rFonts w:cstheme="minorHAnsi"/>
        </w:rPr>
        <w:t>se</w:t>
      </w:r>
      <w:r w:rsidR="00FA39C4">
        <w:rPr>
          <w:rFonts w:cstheme="minorHAnsi"/>
        </w:rPr>
        <w:t xml:space="preserve"> </w:t>
      </w:r>
      <w:r w:rsidR="008970A8" w:rsidRPr="000800F2">
        <w:rPr>
          <w:rFonts w:cstheme="minorHAnsi"/>
        </w:rPr>
        <w:t xml:space="preserve">vignettes </w:t>
      </w:r>
      <w:r w:rsidR="008970A8">
        <w:rPr>
          <w:rFonts w:cstheme="minorHAnsi"/>
        </w:rPr>
        <w:t>were</w:t>
      </w:r>
      <w:r w:rsidR="008970A8" w:rsidRPr="000800F2">
        <w:rPr>
          <w:rFonts w:cstheme="minorHAnsi"/>
        </w:rPr>
        <w:t xml:space="preserve"> unidentifiable.</w:t>
      </w:r>
      <w:r w:rsidR="008E67E9" w:rsidRPr="008E67E9">
        <w:rPr>
          <w:rFonts w:ascii="Calibri" w:hAnsi="Calibri" w:cs="Calibri"/>
          <w:i/>
          <w:iCs/>
        </w:rPr>
        <w:t xml:space="preserve"> </w:t>
      </w:r>
      <w:r w:rsidR="00FA39C4">
        <w:rPr>
          <w:rFonts w:ascii="Calibri" w:hAnsi="Calibri" w:cs="Calibri"/>
          <w:iCs/>
        </w:rPr>
        <w:t>During the implementation</w:t>
      </w:r>
      <w:r w:rsidR="00316896">
        <w:rPr>
          <w:rFonts w:ascii="Calibri" w:hAnsi="Calibri" w:cs="Calibri"/>
          <w:iCs/>
        </w:rPr>
        <w:t xml:space="preserve"> activities</w:t>
      </w:r>
      <w:r w:rsidR="00FA39C4">
        <w:rPr>
          <w:rFonts w:ascii="Calibri" w:hAnsi="Calibri" w:cs="Calibri"/>
          <w:iCs/>
        </w:rPr>
        <w:t>, d</w:t>
      </w:r>
      <w:r w:rsidR="008E67E9" w:rsidRPr="00CE1E16">
        <w:rPr>
          <w:rFonts w:ascii="Calibri" w:hAnsi="Calibri" w:cs="Calibri"/>
        </w:rPr>
        <w:t xml:space="preserve">ocumented practice pattern data </w:t>
      </w:r>
      <w:r w:rsidR="008E67E9">
        <w:rPr>
          <w:rFonts w:ascii="Calibri" w:hAnsi="Calibri" w:cs="Calibri"/>
        </w:rPr>
        <w:t xml:space="preserve">was to </w:t>
      </w:r>
      <w:r w:rsidR="008E67E9" w:rsidRPr="00CE1E16">
        <w:rPr>
          <w:rFonts w:ascii="Calibri" w:hAnsi="Calibri" w:cs="Calibri"/>
        </w:rPr>
        <w:t xml:space="preserve">be collected through online chart audits. </w:t>
      </w:r>
      <w:r w:rsidR="008E67E9">
        <w:rPr>
          <w:rFonts w:ascii="Calibri" w:hAnsi="Calibri" w:cs="Calibri"/>
        </w:rPr>
        <w:t>The</w:t>
      </w:r>
      <w:r w:rsidR="008E67E9" w:rsidRPr="00CE1E16">
        <w:rPr>
          <w:rFonts w:ascii="Calibri" w:hAnsi="Calibri" w:cs="Calibri"/>
        </w:rPr>
        <w:t xml:space="preserve"> data extracted from the patient charts </w:t>
      </w:r>
      <w:r w:rsidR="008E67E9">
        <w:rPr>
          <w:rFonts w:ascii="Calibri" w:hAnsi="Calibri" w:cs="Calibri"/>
        </w:rPr>
        <w:t xml:space="preserve">was </w:t>
      </w:r>
      <w:r w:rsidR="008E67E9" w:rsidRPr="00CE1E16">
        <w:rPr>
          <w:rFonts w:ascii="Calibri" w:hAnsi="Calibri" w:cs="Calibri"/>
        </w:rPr>
        <w:t>not</w:t>
      </w:r>
      <w:r w:rsidR="008E67E9">
        <w:rPr>
          <w:rFonts w:ascii="Calibri" w:hAnsi="Calibri" w:cs="Calibri"/>
        </w:rPr>
        <w:t xml:space="preserve"> to </w:t>
      </w:r>
      <w:r w:rsidR="008E67E9" w:rsidRPr="00CE1E16">
        <w:rPr>
          <w:rFonts w:ascii="Calibri" w:hAnsi="Calibri" w:cs="Calibri"/>
        </w:rPr>
        <w:t>contain any patient identifier information in accordance with the Health Insurance Portability</w:t>
      </w:r>
      <w:r w:rsidR="008E67E9">
        <w:rPr>
          <w:rFonts w:ascii="Calibri" w:hAnsi="Calibri" w:cs="Calibri"/>
        </w:rPr>
        <w:t xml:space="preserve"> </w:t>
      </w:r>
      <w:r w:rsidR="008E67E9" w:rsidRPr="00CE1E16">
        <w:rPr>
          <w:rFonts w:ascii="Calibri" w:hAnsi="Calibri" w:cs="Calibri"/>
        </w:rPr>
        <w:t>and Accountability Act (HIPAA)</w:t>
      </w:r>
      <w:r w:rsidR="00FA39C4">
        <w:rPr>
          <w:rFonts w:ascii="Calibri" w:hAnsi="Calibri" w:cs="Calibri"/>
        </w:rPr>
        <w:t>.</w:t>
      </w:r>
    </w:p>
    <w:p w14:paraId="7BAE67B6" w14:textId="3C1B6FA2" w:rsidR="000C6C0D" w:rsidRPr="008E67E9" w:rsidRDefault="003074C3" w:rsidP="00FA39C4">
      <w:pPr>
        <w:autoSpaceDE w:val="0"/>
        <w:autoSpaceDN w:val="0"/>
        <w:adjustRightInd w:val="0"/>
        <w:spacing w:after="0" w:line="240" w:lineRule="auto"/>
        <w:rPr>
          <w:b/>
        </w:rPr>
      </w:pPr>
      <w:r>
        <w:rPr>
          <w:b/>
        </w:rPr>
        <w:br/>
      </w:r>
      <w:r w:rsidR="00D27247" w:rsidRPr="000C6C0D">
        <w:rPr>
          <w:b/>
        </w:rPr>
        <w:t>Results</w:t>
      </w:r>
      <w:r w:rsidR="000C6C0D">
        <w:br/>
      </w:r>
      <w:r w:rsidR="000C6C0D" w:rsidRPr="008E67E9">
        <w:rPr>
          <w:b/>
        </w:rPr>
        <w:t>a.  Initial steps of the </w:t>
      </w:r>
      <w:hyperlink r:id="rId33" w:anchor="Interventions" w:history="1">
        <w:r w:rsidR="000C6C0D" w:rsidRPr="008E67E9">
          <w:rPr>
            <w:rStyle w:val="Hyperlink"/>
            <w:b/>
          </w:rPr>
          <w:t>intervention(s)</w:t>
        </w:r>
      </w:hyperlink>
      <w:r w:rsidR="000C6C0D" w:rsidRPr="008E67E9">
        <w:rPr>
          <w:b/>
        </w:rPr>
        <w:t> and their evolution over time (e.g., time-line diagram, flow chart, or table), including modifications made to the intervention during the project</w:t>
      </w:r>
    </w:p>
    <w:p w14:paraId="6CCDA1F5" w14:textId="77777777" w:rsidR="000C6C0D" w:rsidRPr="008E67E9" w:rsidRDefault="000C6C0D" w:rsidP="000C6C0D">
      <w:pPr>
        <w:spacing w:after="0" w:line="240" w:lineRule="auto"/>
        <w:rPr>
          <w:b/>
        </w:rPr>
      </w:pPr>
      <w:r w:rsidRPr="008E67E9">
        <w:rPr>
          <w:b/>
        </w:rPr>
        <w:t>b.  Details of the </w:t>
      </w:r>
      <w:hyperlink r:id="rId34" w:anchor="Process" w:history="1">
        <w:r w:rsidRPr="008E67E9">
          <w:rPr>
            <w:rStyle w:val="Hyperlink"/>
            <w:b/>
          </w:rPr>
          <w:t>process</w:t>
        </w:r>
      </w:hyperlink>
      <w:r w:rsidRPr="008E67E9">
        <w:rPr>
          <w:b/>
        </w:rPr>
        <w:t> measures and outcome</w:t>
      </w:r>
    </w:p>
    <w:p w14:paraId="27CB2320" w14:textId="77777777" w:rsidR="000C6C0D" w:rsidRPr="008E67E9" w:rsidRDefault="000C6C0D" w:rsidP="000C6C0D">
      <w:pPr>
        <w:spacing w:after="0" w:line="240" w:lineRule="auto"/>
        <w:rPr>
          <w:b/>
        </w:rPr>
      </w:pPr>
      <w:r w:rsidRPr="008E67E9">
        <w:rPr>
          <w:b/>
        </w:rPr>
        <w:t>c.  Contextual elements that interacted with the </w:t>
      </w:r>
      <w:hyperlink r:id="rId35" w:anchor="Interventions" w:history="1">
        <w:r w:rsidRPr="008E67E9">
          <w:rPr>
            <w:rStyle w:val="Hyperlink"/>
            <w:b/>
          </w:rPr>
          <w:t>intervention(s)</w:t>
        </w:r>
      </w:hyperlink>
    </w:p>
    <w:p w14:paraId="370F447D" w14:textId="77777777" w:rsidR="000C6C0D" w:rsidRPr="008E67E9" w:rsidRDefault="000C6C0D" w:rsidP="000C6C0D">
      <w:pPr>
        <w:spacing w:after="0" w:line="240" w:lineRule="auto"/>
        <w:rPr>
          <w:b/>
        </w:rPr>
      </w:pPr>
      <w:r w:rsidRPr="008E67E9">
        <w:rPr>
          <w:b/>
        </w:rPr>
        <w:t>d.  Observed associations between outcomes, interventions, and relevant contextual elements </w:t>
      </w:r>
      <w:bookmarkStart w:id="24" w:name="discussion"/>
      <w:bookmarkEnd w:id="24"/>
    </w:p>
    <w:p w14:paraId="5FC33C49" w14:textId="77777777" w:rsidR="000C6C0D" w:rsidRPr="008E67E9" w:rsidRDefault="000C6C0D" w:rsidP="000C6C0D">
      <w:pPr>
        <w:spacing w:after="0" w:line="240" w:lineRule="auto"/>
        <w:rPr>
          <w:b/>
        </w:rPr>
      </w:pPr>
      <w:r w:rsidRPr="008E67E9">
        <w:rPr>
          <w:b/>
        </w:rPr>
        <w:t>e.  Unintended consequences such as unexpected benefits, </w:t>
      </w:r>
      <w:hyperlink r:id="rId36" w:anchor="Problem" w:history="1">
        <w:r w:rsidRPr="008E67E9">
          <w:rPr>
            <w:rStyle w:val="Hyperlink"/>
            <w:b/>
          </w:rPr>
          <w:t>problems</w:t>
        </w:r>
      </w:hyperlink>
      <w:r w:rsidRPr="008E67E9">
        <w:rPr>
          <w:b/>
        </w:rPr>
        <w:t>, failures, or costs associated with the </w:t>
      </w:r>
      <w:hyperlink r:id="rId37" w:anchor="Interventions" w:history="1">
        <w:r w:rsidRPr="008E67E9">
          <w:rPr>
            <w:rStyle w:val="Hyperlink"/>
            <w:b/>
          </w:rPr>
          <w:t>intervention(s).</w:t>
        </w:r>
      </w:hyperlink>
    </w:p>
    <w:p w14:paraId="5FECA44B" w14:textId="60D2B2C2" w:rsidR="000C6C0D" w:rsidRPr="000C6C0D" w:rsidRDefault="000C6C0D" w:rsidP="000C6C0D">
      <w:pPr>
        <w:spacing w:after="0" w:line="240" w:lineRule="auto"/>
      </w:pPr>
      <w:r w:rsidRPr="008E67E9">
        <w:rPr>
          <w:b/>
        </w:rPr>
        <w:t>f.  Details about missing data</w:t>
      </w:r>
      <w:r w:rsidRPr="008E67E9">
        <w:rPr>
          <w:b/>
        </w:rPr>
        <w:br/>
      </w:r>
      <w:r>
        <w:br/>
      </w:r>
      <w:r w:rsidRPr="008521DA">
        <w:rPr>
          <w:i/>
          <w:u w:val="single"/>
        </w:rPr>
        <w:t xml:space="preserve">Intervention </w:t>
      </w:r>
      <w:r w:rsidR="000422FF">
        <w:rPr>
          <w:i/>
          <w:u w:val="single"/>
        </w:rPr>
        <w:t xml:space="preserve">and Implementation Activities </w:t>
      </w:r>
      <w:r w:rsidR="008E67E9">
        <w:rPr>
          <w:i/>
          <w:u w:val="single"/>
        </w:rPr>
        <w:t>Flow Chart</w:t>
      </w:r>
    </w:p>
    <w:p w14:paraId="4D592557" w14:textId="2D4C60DE" w:rsidR="009118D7" w:rsidRDefault="000C6C0D" w:rsidP="009118D7">
      <w:pPr>
        <w:spacing w:after="0" w:line="240" w:lineRule="auto"/>
      </w:pPr>
      <w:r>
        <w:rPr>
          <w:noProof/>
        </w:rPr>
        <w:drawing>
          <wp:inline distT="0" distB="0" distL="0" distR="0" wp14:anchorId="7CCE88B5" wp14:editId="18A5FDBD">
            <wp:extent cx="4457700" cy="2166428"/>
            <wp:effectExtent l="0" t="0" r="0" b="5715"/>
            <wp:docPr id="14015257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8">
                      <a:extLst>
                        <a:ext uri="{28A0092B-C50C-407E-A947-70E740481C1C}">
                          <a14:useLocalDpi xmlns:a14="http://schemas.microsoft.com/office/drawing/2010/main" val="0"/>
                        </a:ext>
                      </a:extLst>
                    </a:blip>
                    <a:stretch>
                      <a:fillRect/>
                    </a:stretch>
                  </pic:blipFill>
                  <pic:spPr>
                    <a:xfrm>
                      <a:off x="0" y="0"/>
                      <a:ext cx="4457700" cy="2166428"/>
                    </a:xfrm>
                    <a:prstGeom prst="rect">
                      <a:avLst/>
                    </a:prstGeom>
                  </pic:spPr>
                </pic:pic>
              </a:graphicData>
            </a:graphic>
          </wp:inline>
        </w:drawing>
      </w:r>
      <w:r>
        <w:br/>
      </w:r>
    </w:p>
    <w:p w14:paraId="662CE5D6" w14:textId="6287EBBD" w:rsidR="00EF4F8E" w:rsidRDefault="00EF4F8E" w:rsidP="009118D7">
      <w:pPr>
        <w:spacing w:after="0" w:line="240" w:lineRule="auto"/>
      </w:pPr>
      <w:r>
        <w:t xml:space="preserve">In addition to the </w:t>
      </w:r>
      <w:r w:rsidR="001D5A78">
        <w:t>activities</w:t>
      </w:r>
      <w:r>
        <w:t xml:space="preserve"> above, a complimentary online activity was also launched after the follow-up implementation activity was to be completed.</w:t>
      </w:r>
    </w:p>
    <w:p w14:paraId="2C61673A" w14:textId="77777777" w:rsidR="00EF4F8E" w:rsidRDefault="00EF4F8E" w:rsidP="009118D7">
      <w:pPr>
        <w:spacing w:after="0" w:line="240" w:lineRule="auto"/>
      </w:pPr>
    </w:p>
    <w:p w14:paraId="6B6566E5" w14:textId="129F6D04" w:rsidR="00EB5B4F" w:rsidRPr="00EB5B4F" w:rsidRDefault="00655910" w:rsidP="00EB5B4F">
      <w:pPr>
        <w:spacing w:after="0" w:line="240" w:lineRule="auto"/>
        <w:rPr>
          <w:i/>
        </w:rPr>
      </w:pPr>
      <w:r w:rsidRPr="00655910">
        <w:t>Contextual elements that interacted with the</w:t>
      </w:r>
      <w:r>
        <w:t xml:space="preserve"> </w:t>
      </w:r>
      <w:r w:rsidR="00F7046A">
        <w:t>workshop intervention</w:t>
      </w:r>
      <w:bookmarkStart w:id="25" w:name="_Hlk7767590"/>
      <w:r w:rsidR="00EF4F8E">
        <w:t xml:space="preserve"> include the appropriate match between the project content and the target audience consisting of d</w:t>
      </w:r>
      <w:r w:rsidR="00EF4F8E" w:rsidRPr="00A72F9F">
        <w:t>ermatologists and other interested physicians (e.g., primary care physicians and rheumatologists), and non-physician clinicians (e.g., nurse practitioners and physician assistants) who provide dermatologic care to patients with psoriasis and</w:t>
      </w:r>
      <w:r w:rsidR="00EF4F8E">
        <w:t xml:space="preserve"> PSA. </w:t>
      </w:r>
    </w:p>
    <w:bookmarkEnd w:id="25"/>
    <w:p w14:paraId="419BD2E2" w14:textId="08173D99" w:rsidR="00EF4F8E" w:rsidRDefault="00EF4F8E" w:rsidP="00EB5B4F">
      <w:pPr>
        <w:spacing w:after="0" w:line="240" w:lineRule="auto"/>
      </w:pPr>
      <w:r>
        <w:t xml:space="preserve">This was demonstrated by </w:t>
      </w:r>
      <w:r w:rsidR="00F7046A">
        <w:t>successful</w:t>
      </w:r>
      <w:r>
        <w:t>ly</w:t>
      </w:r>
      <w:r w:rsidR="00F7046A">
        <w:t xml:space="preserve"> attracting 366 attendees</w:t>
      </w:r>
      <w:r>
        <w:t xml:space="preserve"> to the workshops</w:t>
      </w:r>
      <w:r w:rsidR="00F7046A">
        <w:t xml:space="preserve">. </w:t>
      </w:r>
      <w:r w:rsidR="006E6FD6">
        <w:t xml:space="preserve">In addition, the venue of the workshops made it accessible to this audience by holding the workshops during </w:t>
      </w:r>
      <w:r w:rsidR="003300E4">
        <w:t xml:space="preserve">AAD </w:t>
      </w:r>
      <w:r w:rsidR="006E6FD6">
        <w:lastRenderedPageBreak/>
        <w:t xml:space="preserve">Annual and Summer meetings located in various geographic regions throughout the US. This offered an efficient and </w:t>
      </w:r>
      <w:r w:rsidR="00740596">
        <w:t>cost-effective</w:t>
      </w:r>
      <w:r w:rsidR="003300E4">
        <w:t xml:space="preserve"> opportunity for participants to attend these workshops. </w:t>
      </w:r>
      <w:r w:rsidR="006E6FD6">
        <w:t xml:space="preserve">A robust marketing campaign ensured that this target audience was aware of the opportunity to participate in this educational activity. The actual workshop was presented by experts in their field speaking on relevant content that was current and evidence based. Actual patient demonstrations gave participants a “hands-on” experience in assessing severity using scales and tools they would then take back to practice.  </w:t>
      </w:r>
    </w:p>
    <w:p w14:paraId="24707AD7" w14:textId="77777777" w:rsidR="00EF4F8E" w:rsidRDefault="00EF4F8E" w:rsidP="00EB5B4F">
      <w:pPr>
        <w:spacing w:after="0" w:line="240" w:lineRule="auto"/>
      </w:pPr>
    </w:p>
    <w:p w14:paraId="107955CD" w14:textId="0A4E75C8" w:rsidR="00EB5B4F" w:rsidRPr="007F1CB0" w:rsidRDefault="00BB3D1C" w:rsidP="00EB5B4F">
      <w:pPr>
        <w:spacing w:after="0" w:line="240" w:lineRule="auto"/>
      </w:pPr>
      <w:r>
        <w:t xml:space="preserve">As further demonstration of the success of this workshop, a control group attended </w:t>
      </w:r>
      <w:r w:rsidRPr="00EB5B4F">
        <w:t>a</w:t>
      </w:r>
      <w:r w:rsidR="00EF4F8E">
        <w:t xml:space="preserve"> </w:t>
      </w:r>
      <w:r w:rsidRPr="00EB5B4F">
        <w:t>psoriasis forum session</w:t>
      </w:r>
      <w:r>
        <w:t xml:space="preserve"> entitled</w:t>
      </w:r>
      <w:r w:rsidRPr="00EB5B4F">
        <w:t xml:space="preserve"> </w:t>
      </w:r>
      <w:r w:rsidRPr="00EB5B4F">
        <w:rPr>
          <w:i/>
        </w:rPr>
        <w:t>Research Gaps in Psoriasis: Opportunities for Future</w:t>
      </w:r>
      <w:r w:rsidRPr="00BB3D1C">
        <w:rPr>
          <w:i/>
        </w:rPr>
        <w:t xml:space="preserve"> Studies and the Development of New Outcome Measures for Clinical Trials</w:t>
      </w:r>
      <w:r w:rsidR="00EF4F8E">
        <w:rPr>
          <w:i/>
        </w:rPr>
        <w:t xml:space="preserve"> </w:t>
      </w:r>
      <w:r w:rsidR="00EF4F8E" w:rsidRPr="00EF4F8E">
        <w:t>also offered at an AAD Annual Meeting</w:t>
      </w:r>
      <w:r w:rsidRPr="00EF4F8E">
        <w:t>.</w:t>
      </w:r>
      <w:r w:rsidRPr="00BB3D1C">
        <w:t xml:space="preserve"> These attendees </w:t>
      </w:r>
      <w:r w:rsidR="00811543">
        <w:t xml:space="preserve">were </w:t>
      </w:r>
      <w:r w:rsidRPr="00BB3D1C">
        <w:t>also presumed to treat</w:t>
      </w:r>
      <w:r>
        <w:t xml:space="preserve"> </w:t>
      </w:r>
      <w:r w:rsidRPr="00BB3D1C">
        <w:t xml:space="preserve">psoriasis. The attendees of the control session answered the same </w:t>
      </w:r>
      <w:r w:rsidR="00811543" w:rsidRPr="00BB3D1C">
        <w:t xml:space="preserve">pre- and post-survey </w:t>
      </w:r>
      <w:r w:rsidRPr="00BB3D1C">
        <w:t>but did not</w:t>
      </w:r>
      <w:r w:rsidR="00811543">
        <w:t xml:space="preserve"> </w:t>
      </w:r>
      <w:r w:rsidRPr="00BB3D1C">
        <w:t xml:space="preserve">attend the </w:t>
      </w:r>
      <w:r w:rsidR="00811543" w:rsidRPr="00EB5B4F">
        <w:rPr>
          <w:i/>
        </w:rPr>
        <w:t>Practical Approaches to Assessing Psoriasis and Psoriatic Arthritis</w:t>
      </w:r>
      <w:r w:rsidR="00811543">
        <w:rPr>
          <w:i/>
        </w:rPr>
        <w:t xml:space="preserve"> </w:t>
      </w:r>
      <w:r w:rsidR="00811543" w:rsidRPr="00EF4F8E">
        <w:t xml:space="preserve">intervention </w:t>
      </w:r>
      <w:r w:rsidRPr="00BB3D1C">
        <w:t>workshop. Analysis comparing the pre- and post-survey showed significant improvement</w:t>
      </w:r>
      <w:r w:rsidR="00811543">
        <w:t xml:space="preserve"> </w:t>
      </w:r>
      <w:r w:rsidRPr="00BB3D1C">
        <w:t xml:space="preserve">in the knowledge, confidence, and competence of the participants who attended the </w:t>
      </w:r>
      <w:r w:rsidR="00811543">
        <w:t xml:space="preserve">intervention </w:t>
      </w:r>
      <w:r w:rsidRPr="00BB3D1C">
        <w:t>workshop compared to the participants of the control session</w:t>
      </w:r>
      <w:r w:rsidR="00811543">
        <w:t xml:space="preserve">. </w:t>
      </w:r>
      <w:r w:rsidR="00EB5B4F" w:rsidRPr="00A72F9F">
        <w:t xml:space="preserve">In addition, an average of 94% respondents </w:t>
      </w:r>
      <w:r w:rsidR="00F05935">
        <w:t xml:space="preserve">attending the </w:t>
      </w:r>
      <w:r w:rsidR="00F05935" w:rsidRPr="00EB5B4F">
        <w:rPr>
          <w:i/>
        </w:rPr>
        <w:t>Practical Approaches to Assessing Psoriasis and Psoriatic Arthritis</w:t>
      </w:r>
      <w:r w:rsidR="00F05935">
        <w:rPr>
          <w:i/>
        </w:rPr>
        <w:t xml:space="preserve"> </w:t>
      </w:r>
      <w:r w:rsidR="00EB5B4F" w:rsidRPr="00A72F9F">
        <w:t xml:space="preserve">felt attendance at their workshop had either a very positive or positive impact on their knowledge in assessing and evaluating psoriasis and PsA and that this knowledge would have a positive impact on their practice.  </w:t>
      </w:r>
      <w:r w:rsidR="00EB5B4F">
        <w:t xml:space="preserve">Evaluations also showed that learners plan to </w:t>
      </w:r>
      <w:r w:rsidR="00EB5B4F" w:rsidRPr="00CF3BA6">
        <w:t xml:space="preserve">perform joint examinations </w:t>
      </w:r>
      <w:r w:rsidR="00EB5B4F">
        <w:t xml:space="preserve">having </w:t>
      </w:r>
      <w:r w:rsidR="00EF4F8E">
        <w:t xml:space="preserve">now </w:t>
      </w:r>
      <w:r w:rsidR="00EB5B4F">
        <w:t xml:space="preserve">learned to </w:t>
      </w:r>
      <w:r w:rsidR="00EB5B4F" w:rsidRPr="00CF3BA6">
        <w:t>better evaluate joints and more accurately assess psoriasis and PsA</w:t>
      </w:r>
      <w:r w:rsidR="00EB5B4F">
        <w:t xml:space="preserve">.  </w:t>
      </w:r>
      <w:r w:rsidR="00CA61E0">
        <w:t xml:space="preserve">We project that the </w:t>
      </w:r>
      <w:r w:rsidR="00EB5B4F">
        <w:t xml:space="preserve">impact of the workshop educational intervention </w:t>
      </w:r>
      <w:r w:rsidR="00CA61E0">
        <w:t>was improved care for an estimated</w:t>
      </w:r>
      <w:r w:rsidR="00EB5B4F">
        <w:t xml:space="preserve"> </w:t>
      </w:r>
      <w:r w:rsidR="00EB5B4F" w:rsidRPr="007F1CB0">
        <w:t xml:space="preserve">3,600 psoriasis and </w:t>
      </w:r>
      <w:proofErr w:type="spellStart"/>
      <w:r w:rsidR="00EB5B4F" w:rsidRPr="007F1CB0">
        <w:t>PsA</w:t>
      </w:r>
      <w:proofErr w:type="spellEnd"/>
      <w:r w:rsidR="00EB5B4F" w:rsidRPr="007F1CB0">
        <w:t xml:space="preserve"> patients</w:t>
      </w:r>
      <w:r w:rsidR="00CA61E0">
        <w:t xml:space="preserve"> that</w:t>
      </w:r>
      <w:r w:rsidR="00EB5B4F" w:rsidRPr="007F1CB0">
        <w:t xml:space="preserve"> </w:t>
      </w:r>
      <w:r w:rsidR="00EB5B4F">
        <w:t>ha</w:t>
      </w:r>
      <w:r w:rsidR="00CA61E0">
        <w:t>d</w:t>
      </w:r>
      <w:r w:rsidR="00EB5B4F">
        <w:t xml:space="preserve"> been </w:t>
      </w:r>
      <w:r w:rsidR="00EB5B4F" w:rsidRPr="007F1CB0">
        <w:t>treated during the 12-month period following the intervention (</w:t>
      </w:r>
      <w:r w:rsidR="00EB5B4F">
        <w:t xml:space="preserve">a minimum of </w:t>
      </w:r>
      <w:r w:rsidR="00EB5B4F" w:rsidRPr="007F1CB0">
        <w:t xml:space="preserve">30 patients/per physician learner/per year x approximately 120 practicing physician learners = 3,600 patients impacted annually).  </w:t>
      </w:r>
      <w:r w:rsidR="00EB5B4F">
        <w:t>We anticipate th</w:t>
      </w:r>
      <w:r w:rsidR="00E52E34">
        <w:t>at the</w:t>
      </w:r>
      <w:r w:rsidR="00EB5B4F" w:rsidRPr="007F1CB0">
        <w:t xml:space="preserve"> number of patients impacted</w:t>
      </w:r>
      <w:r w:rsidR="00EB5B4F">
        <w:t xml:space="preserve"> will continue to </w:t>
      </w:r>
      <w:r w:rsidR="00EB5B4F" w:rsidRPr="007F1CB0">
        <w:t>increase as time progresses and learners continue to treat new patients.</w:t>
      </w:r>
      <w:r w:rsidR="00EB5B4F">
        <w:t xml:space="preserve"> </w:t>
      </w:r>
    </w:p>
    <w:p w14:paraId="7BF15B2C" w14:textId="7F093B4A" w:rsidR="006F073C" w:rsidRDefault="00750F4E" w:rsidP="006F073C">
      <w:pPr>
        <w:spacing w:after="0" w:line="240" w:lineRule="auto"/>
        <w:rPr>
          <w:rFonts w:cstheme="minorHAnsi"/>
          <w:b/>
        </w:rPr>
      </w:pPr>
      <w:r>
        <w:br/>
      </w:r>
      <w:bookmarkStart w:id="26" w:name="_Hlk8024140"/>
      <w:r w:rsidR="00FF28BA">
        <w:t>The post workshop implementation activities were not as successful</w:t>
      </w:r>
      <w:r w:rsidR="00ED104B">
        <w:t xml:space="preserve">. </w:t>
      </w:r>
      <w:r w:rsidR="006F073C">
        <w:rPr>
          <w:rFonts w:cstheme="minorHAnsi"/>
        </w:rPr>
        <w:t xml:space="preserve">Workshop participants who continued onto the implementation activities were met with a barrier in collecting chart audit data. The project </w:t>
      </w:r>
      <w:r w:rsidR="006F073C">
        <w:t xml:space="preserve">did not take into consideration the physician’s need to extract specific chart audit data that was not programmed into the physician’s Electronic Medical Records. This barrier resulted in the inability of the physician to extract the data needed for the chart audit during the baseline, follow-up and online activities. This was impactful as this data was intended to demonstrate successful implementation and increased </w:t>
      </w:r>
      <w:r w:rsidR="006F073C" w:rsidRPr="000800F2">
        <w:rPr>
          <w:rFonts w:cstheme="minorHAnsi"/>
        </w:rPr>
        <w:t>clinical use of tools for</w:t>
      </w:r>
      <w:r w:rsidR="006F073C">
        <w:rPr>
          <w:rFonts w:cstheme="minorHAnsi"/>
        </w:rPr>
        <w:t xml:space="preserve"> </w:t>
      </w:r>
      <w:r w:rsidR="006F073C" w:rsidRPr="000800F2">
        <w:rPr>
          <w:rFonts w:cstheme="minorHAnsi"/>
        </w:rPr>
        <w:t>assessing psoriasis, PsA, and QOL in patients with psoriasis</w:t>
      </w:r>
      <w:r w:rsidR="006F073C">
        <w:rPr>
          <w:rFonts w:cstheme="minorHAnsi"/>
        </w:rPr>
        <w:t xml:space="preserve">. Without this data, the participant could not complete the entire learning experience. It’s our reasoning that in turn, this impacted the motivation by the participant to complete the patient recruitment portion of the implementation and online activities. This too, was </w:t>
      </w:r>
      <w:r w:rsidR="005E4437">
        <w:rPr>
          <w:rFonts w:cstheme="minorHAnsi"/>
        </w:rPr>
        <w:t>important as</w:t>
      </w:r>
      <w:r w:rsidR="006F073C">
        <w:rPr>
          <w:rFonts w:cstheme="minorHAnsi"/>
        </w:rPr>
        <w:t xml:space="preserve"> this patient data was designed to measure </w:t>
      </w:r>
      <w:r w:rsidR="006F073C" w:rsidRPr="000800F2">
        <w:rPr>
          <w:rFonts w:cstheme="minorHAnsi"/>
        </w:rPr>
        <w:t>increase</w:t>
      </w:r>
      <w:r w:rsidR="006F073C">
        <w:rPr>
          <w:rFonts w:cstheme="minorHAnsi"/>
        </w:rPr>
        <w:t>d</w:t>
      </w:r>
      <w:r w:rsidR="006F073C" w:rsidRPr="000800F2">
        <w:rPr>
          <w:rFonts w:cstheme="minorHAnsi"/>
        </w:rPr>
        <w:t xml:space="preserve"> QOL and treatment</w:t>
      </w:r>
      <w:r w:rsidR="006F073C">
        <w:rPr>
          <w:rFonts w:cstheme="minorHAnsi"/>
        </w:rPr>
        <w:t xml:space="preserve"> </w:t>
      </w:r>
      <w:r w:rsidR="006F073C" w:rsidRPr="000800F2">
        <w:rPr>
          <w:rFonts w:cstheme="minorHAnsi"/>
        </w:rPr>
        <w:t>satisfaction as reported by patients with psoriasis and PsA.</w:t>
      </w:r>
      <w:r w:rsidR="006F073C">
        <w:rPr>
          <w:rFonts w:cstheme="minorHAnsi"/>
        </w:rPr>
        <w:t xml:space="preserve">  Without the chart audit data or patient data, we were unable to </w:t>
      </w:r>
      <w:r w:rsidR="006F073C" w:rsidRPr="007C01CD">
        <w:t>conclude</w:t>
      </w:r>
      <w:r w:rsidR="006F073C">
        <w:t xml:space="preserve"> an</w:t>
      </w:r>
      <w:r w:rsidR="006F073C" w:rsidRPr="007C01CD">
        <w:t xml:space="preserve"> impact of </w:t>
      </w:r>
      <w:r w:rsidR="006F073C">
        <w:t xml:space="preserve">the </w:t>
      </w:r>
      <w:r w:rsidR="006F073C" w:rsidRPr="007C01CD">
        <w:t>live educational intervention on improved care</w:t>
      </w:r>
      <w:r w:rsidR="006F073C">
        <w:t xml:space="preserve">. </w:t>
      </w:r>
    </w:p>
    <w:p w14:paraId="75438F95" w14:textId="1AB543FB" w:rsidR="006F073C" w:rsidRDefault="006F073C" w:rsidP="006F073C">
      <w:pPr>
        <w:autoSpaceDE w:val="0"/>
        <w:autoSpaceDN w:val="0"/>
        <w:adjustRightInd w:val="0"/>
        <w:spacing w:after="0" w:line="240" w:lineRule="auto"/>
        <w:rPr>
          <w:i/>
          <w:iCs/>
          <w:u w:val="single"/>
        </w:rPr>
      </w:pPr>
      <w:r>
        <w:rPr>
          <w:iCs/>
        </w:rPr>
        <w:br/>
        <w:t xml:space="preserve">Upon completion of the implementation activities and online activity, a second effort was made to collect data necessary to meet the objectives of the project. This alternative research methodology </w:t>
      </w:r>
      <w:r w:rsidRPr="00FE146D">
        <w:rPr>
          <w:iCs/>
        </w:rPr>
        <w:t xml:space="preserve">proposed </w:t>
      </w:r>
      <w:r>
        <w:rPr>
          <w:iCs/>
        </w:rPr>
        <w:t xml:space="preserve">to gather self-reported data on the </w:t>
      </w:r>
      <w:r w:rsidRPr="00FE146D">
        <w:rPr>
          <w:iCs/>
        </w:rPr>
        <w:t>impact the program</w:t>
      </w:r>
      <w:r>
        <w:rPr>
          <w:iCs/>
        </w:rPr>
        <w:t xml:space="preserve"> had on </w:t>
      </w:r>
      <w:r w:rsidRPr="00FE146D">
        <w:rPr>
          <w:iCs/>
        </w:rPr>
        <w:t xml:space="preserve">physician attendees, however; there was a lower than anticipated number of physicians who participated in the </w:t>
      </w:r>
      <w:r>
        <w:rPr>
          <w:iCs/>
        </w:rPr>
        <w:t xml:space="preserve">workshop </w:t>
      </w:r>
      <w:r w:rsidRPr="00FE146D">
        <w:rPr>
          <w:iCs/>
        </w:rPr>
        <w:t>educational intervention.  Because of this low number</w:t>
      </w:r>
      <w:r>
        <w:rPr>
          <w:iCs/>
        </w:rPr>
        <w:t xml:space="preserve"> and the </w:t>
      </w:r>
      <w:r w:rsidRPr="00FE146D">
        <w:rPr>
          <w:iCs/>
        </w:rPr>
        <w:t>length of time since the educational activity</w:t>
      </w:r>
      <w:r>
        <w:rPr>
          <w:iCs/>
        </w:rPr>
        <w:t xml:space="preserve"> had occurred</w:t>
      </w:r>
      <w:r w:rsidRPr="00FE146D">
        <w:rPr>
          <w:iCs/>
        </w:rPr>
        <w:t xml:space="preserve">, it was decided that we would not have sufficient data to support a solid conclusion regarding the impact of the intervention. In particular, we became very concerned that the time lapse between the pre and post intervention data collected had allowed for a variety of variables impacting practice to </w:t>
      </w:r>
      <w:r w:rsidRPr="00FE146D">
        <w:rPr>
          <w:iCs/>
        </w:rPr>
        <w:lastRenderedPageBreak/>
        <w:t>distort a final conclusion.</w:t>
      </w:r>
      <w:r>
        <w:rPr>
          <w:iCs/>
        </w:rPr>
        <w:t xml:space="preserve"> </w:t>
      </w:r>
      <w:r w:rsidRPr="001901B0">
        <w:rPr>
          <w:iCs/>
        </w:rPr>
        <w:t xml:space="preserve">The </w:t>
      </w:r>
      <w:r>
        <w:rPr>
          <w:iCs/>
        </w:rPr>
        <w:t xml:space="preserve">measures regarding the </w:t>
      </w:r>
      <w:r w:rsidRPr="001901B0">
        <w:rPr>
          <w:iCs/>
        </w:rPr>
        <w:t>assess</w:t>
      </w:r>
      <w:r>
        <w:rPr>
          <w:iCs/>
        </w:rPr>
        <w:t>ment of</w:t>
      </w:r>
      <w:r w:rsidRPr="001901B0">
        <w:rPr>
          <w:iCs/>
        </w:rPr>
        <w:t xml:space="preserve"> improved patient QOL post intervention</w:t>
      </w:r>
      <w:r>
        <w:rPr>
          <w:iCs/>
        </w:rPr>
        <w:t xml:space="preserve"> was also not realized</w:t>
      </w:r>
      <w:r w:rsidRPr="001901B0">
        <w:rPr>
          <w:iCs/>
        </w:rPr>
        <w:t xml:space="preserve">.  Since AAD does not have direct contact with the patients of our members or </w:t>
      </w:r>
      <w:r w:rsidR="00E52E34">
        <w:rPr>
          <w:iCs/>
        </w:rPr>
        <w:t>other</w:t>
      </w:r>
      <w:r w:rsidR="00E52E34" w:rsidRPr="001901B0">
        <w:rPr>
          <w:iCs/>
        </w:rPr>
        <w:t xml:space="preserve"> </w:t>
      </w:r>
      <w:r w:rsidRPr="001901B0">
        <w:rPr>
          <w:iCs/>
        </w:rPr>
        <w:t xml:space="preserve">learners, and we had not engaged learners in either the initial or alternative research concepts, we were not able to </w:t>
      </w:r>
      <w:r>
        <w:rPr>
          <w:iCs/>
        </w:rPr>
        <w:t xml:space="preserve">establish a connection between the workshop intervention and impact on patient QOL. </w:t>
      </w:r>
    </w:p>
    <w:p w14:paraId="3FD14A88" w14:textId="662FD108" w:rsidR="008521DA" w:rsidRPr="008521DA" w:rsidRDefault="006F073C" w:rsidP="008521DA">
      <w:pPr>
        <w:spacing w:after="0" w:line="240" w:lineRule="auto"/>
      </w:pPr>
      <w:r>
        <w:rPr>
          <w:rFonts w:cstheme="minorHAnsi"/>
        </w:rPr>
        <w:br/>
      </w:r>
      <w:bookmarkEnd w:id="26"/>
      <w:r w:rsidR="004E1CE6" w:rsidRPr="008521DA">
        <w:rPr>
          <w:b/>
        </w:rPr>
        <w:t>Summary</w:t>
      </w:r>
      <w:r w:rsidR="004E1CE6" w:rsidRPr="008521DA">
        <w:rPr>
          <w:b/>
        </w:rPr>
        <w:br/>
      </w:r>
      <w:r w:rsidR="008521DA" w:rsidRPr="008521DA">
        <w:t>a.  Key findings, including relevance to the </w:t>
      </w:r>
      <w:hyperlink r:id="rId39" w:anchor="Rationale" w:history="1">
        <w:r w:rsidR="008521DA" w:rsidRPr="008521DA">
          <w:rPr>
            <w:rStyle w:val="Hyperlink"/>
          </w:rPr>
          <w:t>rationale</w:t>
        </w:r>
      </w:hyperlink>
      <w:r w:rsidR="008521DA" w:rsidRPr="008521DA">
        <w:t> and specific aims</w:t>
      </w:r>
    </w:p>
    <w:p w14:paraId="5B252377" w14:textId="77777777" w:rsidR="008521DA" w:rsidRPr="008521DA" w:rsidRDefault="008521DA" w:rsidP="008521DA">
      <w:pPr>
        <w:spacing w:after="0" w:line="240" w:lineRule="auto"/>
      </w:pPr>
      <w:r w:rsidRPr="008521DA">
        <w:t>b.  Particular strengths of the project</w:t>
      </w:r>
    </w:p>
    <w:p w14:paraId="5394B9B8" w14:textId="56420751" w:rsidR="00FE4D5D" w:rsidRPr="00FE4D5D" w:rsidRDefault="00FE4D5D" w:rsidP="00FE4D5D">
      <w:pPr>
        <w:spacing w:after="0" w:line="240" w:lineRule="auto"/>
      </w:pPr>
      <w:r w:rsidRPr="00FE4D5D">
        <w:t>Project Impact</w:t>
      </w:r>
      <w:r w:rsidRPr="00FE4D5D">
        <w:tab/>
      </w:r>
    </w:p>
    <w:p w14:paraId="6DFA8543" w14:textId="77777777" w:rsidR="00FE4D5D" w:rsidRDefault="00FE4D5D" w:rsidP="00FE4D5D">
      <w:pPr>
        <w:spacing w:after="0" w:line="240" w:lineRule="auto"/>
      </w:pPr>
    </w:p>
    <w:p w14:paraId="5AD23FB1" w14:textId="66B588CD" w:rsidR="0003279B" w:rsidRDefault="0003279B" w:rsidP="00E757A9">
      <w:pPr>
        <w:autoSpaceDE w:val="0"/>
        <w:autoSpaceDN w:val="0"/>
        <w:adjustRightInd w:val="0"/>
        <w:spacing w:after="0" w:line="240" w:lineRule="auto"/>
      </w:pPr>
      <w:r>
        <w:t>Key findings include</w:t>
      </w:r>
      <w:r w:rsidR="00B0433C" w:rsidRPr="00B0433C">
        <w:rPr>
          <w:rFonts w:cstheme="minorHAnsi"/>
        </w:rPr>
        <w:t xml:space="preserve"> </w:t>
      </w:r>
      <w:r w:rsidR="00B0433C">
        <w:rPr>
          <w:rFonts w:cstheme="minorHAnsi"/>
        </w:rPr>
        <w:t xml:space="preserve">data demonstrating the </w:t>
      </w:r>
      <w:r w:rsidR="00B0433C">
        <w:t xml:space="preserve">results from the </w:t>
      </w:r>
      <w:r w:rsidR="00B0433C" w:rsidRPr="00EB5B4F">
        <w:rPr>
          <w:i/>
        </w:rPr>
        <w:t>Practical Approaches to Assessing Psoriasis and Psoriatic Arthritis</w:t>
      </w:r>
      <w:r w:rsidR="00B0433C">
        <w:rPr>
          <w:i/>
        </w:rPr>
        <w:t xml:space="preserve"> </w:t>
      </w:r>
      <w:r w:rsidR="00B0433C">
        <w:t xml:space="preserve">workshop had a positive impact on participants as reflected by pre and post questionnaire workshop data indicating an </w:t>
      </w:r>
      <w:r w:rsidR="00B0433C" w:rsidRPr="000800F2">
        <w:rPr>
          <w:rFonts w:cstheme="minorHAnsi"/>
        </w:rPr>
        <w:t xml:space="preserve">increase </w:t>
      </w:r>
      <w:r w:rsidR="00B0433C">
        <w:rPr>
          <w:rFonts w:cstheme="minorHAnsi"/>
        </w:rPr>
        <w:t xml:space="preserve">in </w:t>
      </w:r>
      <w:r w:rsidR="00B0433C" w:rsidRPr="000800F2">
        <w:rPr>
          <w:rFonts w:cstheme="minorHAnsi"/>
        </w:rPr>
        <w:t>knowledge, competence, and confidence in</w:t>
      </w:r>
      <w:r w:rsidR="00B0433C">
        <w:rPr>
          <w:rFonts w:cstheme="minorHAnsi"/>
        </w:rPr>
        <w:t xml:space="preserve"> </w:t>
      </w:r>
      <w:r w:rsidR="00B0433C" w:rsidRPr="000800F2">
        <w:rPr>
          <w:rFonts w:cstheme="minorHAnsi"/>
        </w:rPr>
        <w:t>using assessment tools for psoriasis, PsA, and QOL</w:t>
      </w:r>
      <w:r w:rsidR="00B0433C">
        <w:rPr>
          <w:rFonts w:cstheme="minorHAnsi"/>
        </w:rPr>
        <w:t xml:space="preserve"> across all three workshops. In addition, control group data </w:t>
      </w:r>
      <w:r w:rsidR="00B0433C" w:rsidRPr="00BB3D1C">
        <w:t xml:space="preserve">comparing the pre- and post-survey </w:t>
      </w:r>
      <w:r w:rsidR="00B0433C">
        <w:t xml:space="preserve">results with the intervention group, </w:t>
      </w:r>
      <w:r w:rsidR="00B0433C" w:rsidRPr="00BB3D1C">
        <w:t>showed significant improvement</w:t>
      </w:r>
      <w:r w:rsidR="00B0433C">
        <w:t xml:space="preserve"> </w:t>
      </w:r>
      <w:r w:rsidR="00B0433C" w:rsidRPr="00BB3D1C">
        <w:t xml:space="preserve">in the knowledge, confidence, and competence of the participants who attended the </w:t>
      </w:r>
      <w:r w:rsidR="00B0433C">
        <w:t xml:space="preserve">intervention </w:t>
      </w:r>
      <w:r w:rsidR="00B0433C" w:rsidRPr="00BB3D1C">
        <w:t>workshop</w:t>
      </w:r>
      <w:r w:rsidR="00B0433C">
        <w:t xml:space="preserve">. </w:t>
      </w:r>
      <w:r w:rsidR="00B4411B">
        <w:t xml:space="preserve"> </w:t>
      </w:r>
      <w:r w:rsidR="00621DD5">
        <w:t>Lastly,</w:t>
      </w:r>
      <w:r w:rsidR="00B4411B" w:rsidRPr="00A72F9F">
        <w:t xml:space="preserve"> an average of 94% respondents </w:t>
      </w:r>
      <w:r w:rsidR="00B4411B">
        <w:t xml:space="preserve">attending the </w:t>
      </w:r>
      <w:r w:rsidR="00B4411B" w:rsidRPr="00A72F9F">
        <w:t>felt attendance at the</w:t>
      </w:r>
      <w:r w:rsidR="00E757A9">
        <w:t xml:space="preserve"> intervention</w:t>
      </w:r>
      <w:r w:rsidR="00B4411B" w:rsidRPr="00A72F9F">
        <w:t xml:space="preserve"> workshop had either a very positive or positive impact on their knowledge in assessing and evaluating psoriasis and PsA and that this knowledge would have a positive impact on their practice.  </w:t>
      </w:r>
      <w:r w:rsidR="00B4411B">
        <w:t xml:space="preserve">Evaluations also showed that learners plan to </w:t>
      </w:r>
      <w:r w:rsidR="00B4411B" w:rsidRPr="00CF3BA6">
        <w:t xml:space="preserve">perform joint examinations </w:t>
      </w:r>
      <w:r w:rsidR="00B4411B">
        <w:t xml:space="preserve">having learned to </w:t>
      </w:r>
      <w:r w:rsidR="00B4411B" w:rsidRPr="00CF3BA6">
        <w:t>better evaluate joints and more accurately assess psoriasis and PsA</w:t>
      </w:r>
      <w:r w:rsidR="00B4411B">
        <w:t xml:space="preserve">. </w:t>
      </w:r>
      <w:r w:rsidR="00B76CE7">
        <w:t xml:space="preserve"> </w:t>
      </w:r>
      <w:r w:rsidR="00B0433C">
        <w:t xml:space="preserve">This data suggest successful achievement of the aim to </w:t>
      </w:r>
      <w:r w:rsidR="00B0433C" w:rsidRPr="000800F2">
        <w:rPr>
          <w:rFonts w:cstheme="minorHAnsi"/>
        </w:rPr>
        <w:t>increase knowledge, competence, and confidence in</w:t>
      </w:r>
      <w:r w:rsidR="00B0433C">
        <w:rPr>
          <w:rFonts w:cstheme="minorHAnsi"/>
        </w:rPr>
        <w:t xml:space="preserve"> </w:t>
      </w:r>
      <w:r w:rsidR="00B0433C" w:rsidRPr="000800F2">
        <w:rPr>
          <w:rFonts w:cstheme="minorHAnsi"/>
        </w:rPr>
        <w:t>using assessment tools for psoriasis, PsA, and QOL</w:t>
      </w:r>
      <w:r w:rsidR="00761D94">
        <w:br/>
      </w:r>
      <w:r w:rsidR="00B4411B">
        <w:t xml:space="preserve">The second and third </w:t>
      </w:r>
      <w:r w:rsidR="00B0433C">
        <w:t>aims to</w:t>
      </w:r>
      <w:r w:rsidRPr="000800F2">
        <w:rPr>
          <w:rFonts w:cstheme="minorHAnsi"/>
        </w:rPr>
        <w:t xml:space="preserve"> increase the clinical use of tools for</w:t>
      </w:r>
      <w:r w:rsidR="00B4411B">
        <w:rPr>
          <w:rFonts w:cstheme="minorHAnsi"/>
        </w:rPr>
        <w:t xml:space="preserve"> </w:t>
      </w:r>
      <w:r w:rsidRPr="000800F2">
        <w:rPr>
          <w:rFonts w:cstheme="minorHAnsi"/>
        </w:rPr>
        <w:t>assessing psoriasis, PsA, and QOL in patients with psoriasis and increase QOL and treatment</w:t>
      </w:r>
      <w:r w:rsidR="00B4411B">
        <w:rPr>
          <w:rFonts w:cstheme="minorHAnsi"/>
        </w:rPr>
        <w:t xml:space="preserve"> </w:t>
      </w:r>
      <w:r w:rsidRPr="000800F2">
        <w:rPr>
          <w:rFonts w:cstheme="minorHAnsi"/>
        </w:rPr>
        <w:t>satisfaction as reported by patients with psoriasis and PsA</w:t>
      </w:r>
      <w:r w:rsidR="00B0433C">
        <w:rPr>
          <w:rFonts w:cstheme="minorHAnsi"/>
        </w:rPr>
        <w:t>,</w:t>
      </w:r>
      <w:r w:rsidR="00B4411B">
        <w:rPr>
          <w:rFonts w:cstheme="minorHAnsi"/>
        </w:rPr>
        <w:t xml:space="preserve"> were not achieved due to a barrier to data collection for the implementation activities and online activity. </w:t>
      </w:r>
      <w:r w:rsidR="00B0433C">
        <w:rPr>
          <w:rFonts w:cstheme="minorHAnsi"/>
        </w:rPr>
        <w:t>Therefore, no data was collected to establish practice pattern data</w:t>
      </w:r>
      <w:r w:rsidR="00B864C0">
        <w:rPr>
          <w:rFonts w:cstheme="minorHAnsi"/>
        </w:rPr>
        <w:t xml:space="preserve"> to measure increase in clinical use of tools or measure patient QOL. </w:t>
      </w:r>
      <w:r w:rsidR="00761D94">
        <w:rPr>
          <w:rFonts w:cstheme="minorHAnsi"/>
        </w:rPr>
        <w:t xml:space="preserve">Due to this barrier, </w:t>
      </w:r>
      <w:r w:rsidR="00B864C0">
        <w:rPr>
          <w:rFonts w:cstheme="minorHAnsi"/>
        </w:rPr>
        <w:t xml:space="preserve">participants were not able to complete the entire blending learning experience. It is our thought that this discouraged learners to move on in recruiting patients to complete QOL data surveys. Although an incentive was offered to </w:t>
      </w:r>
      <w:r w:rsidR="001D5A78">
        <w:rPr>
          <w:rFonts w:cstheme="minorHAnsi"/>
        </w:rPr>
        <w:t>physicians</w:t>
      </w:r>
      <w:r w:rsidR="00B864C0">
        <w:rPr>
          <w:rFonts w:cstheme="minorHAnsi"/>
        </w:rPr>
        <w:t xml:space="preserve"> to complete the project, we aren’t able to draw conclusions if this was impactful due to the barrier in chart audit data collection. Given no patients were recruited, we were unable to measure the impact of these incentives for patients to complete the surveys. </w:t>
      </w:r>
      <w:r w:rsidR="00761D94">
        <w:rPr>
          <w:rFonts w:cstheme="minorHAnsi"/>
        </w:rPr>
        <w:t xml:space="preserve"> </w:t>
      </w:r>
      <w:r w:rsidR="00B4411B">
        <w:rPr>
          <w:rFonts w:cstheme="minorHAnsi"/>
        </w:rPr>
        <w:br/>
      </w:r>
    </w:p>
    <w:p w14:paraId="747D0298" w14:textId="3D843519" w:rsidR="00FE4D5D" w:rsidRDefault="00FE4D5D" w:rsidP="00FE4D5D">
      <w:pPr>
        <w:spacing w:after="0" w:line="240" w:lineRule="auto"/>
      </w:pPr>
      <w:r>
        <w:t xml:space="preserve">Strengths of the project included the prior work and lessons learned regarding the translation of evidence on psoriasis and PsA which was used to inform the </w:t>
      </w:r>
      <w:r w:rsidR="00C67C0C">
        <w:t xml:space="preserve">overall </w:t>
      </w:r>
      <w:r>
        <w:t xml:space="preserve">workplan for this project. In addition, </w:t>
      </w:r>
      <w:r w:rsidR="00C67C0C">
        <w:t>national p</w:t>
      </w:r>
      <w:r>
        <w:t xml:space="preserve">soriasis </w:t>
      </w:r>
      <w:r w:rsidR="00C67C0C">
        <w:t xml:space="preserve">and PsA </w:t>
      </w:r>
      <w:r>
        <w:t>experts who contributed their time and expertise to create and teach content on this subject</w:t>
      </w:r>
      <w:r w:rsidR="00B864C0">
        <w:t xml:space="preserve"> led to a successful workshop</w:t>
      </w:r>
      <w:r>
        <w:t xml:space="preserve">. </w:t>
      </w:r>
      <w:r w:rsidR="00B4411B">
        <w:t xml:space="preserve">Patients </w:t>
      </w:r>
      <w:r w:rsidR="00B864C0">
        <w:t xml:space="preserve">were </w:t>
      </w:r>
      <w:r w:rsidR="00740596">
        <w:t>willing</w:t>
      </w:r>
      <w:r w:rsidR="00B4411B">
        <w:t xml:space="preserve"> to donate their time </w:t>
      </w:r>
      <w:r w:rsidR="00B864C0">
        <w:t xml:space="preserve">to participate in the workshops which </w:t>
      </w:r>
      <w:r w:rsidR="00B4411B">
        <w:t xml:space="preserve">afforded participants a “hands-on” experience in the use of scales and tools in assessing patients. </w:t>
      </w:r>
      <w:r w:rsidR="00CF1A35">
        <w:t xml:space="preserve">AAD and TTF staff were well chosen </w:t>
      </w:r>
      <w:r w:rsidR="00B864C0">
        <w:t xml:space="preserve">to perform </w:t>
      </w:r>
      <w:r w:rsidR="00CF1A35">
        <w:t>their roles in this project</w:t>
      </w:r>
      <w:r w:rsidR="00B864C0">
        <w:t xml:space="preserve"> as well</w:t>
      </w:r>
      <w:r w:rsidR="00CF1A35">
        <w:t xml:space="preserve">. </w:t>
      </w:r>
    </w:p>
    <w:p w14:paraId="069A0EB9" w14:textId="77777777" w:rsidR="00FE4D5D" w:rsidRDefault="00FE4D5D" w:rsidP="00FE4D5D">
      <w:pPr>
        <w:spacing w:after="0" w:line="240" w:lineRule="auto"/>
      </w:pPr>
    </w:p>
    <w:p w14:paraId="1D083F40" w14:textId="7AD98A42" w:rsidR="008521DA" w:rsidRPr="00A2287C" w:rsidRDefault="004E1CE6" w:rsidP="00FE4D5D">
      <w:pPr>
        <w:spacing w:after="0" w:line="240" w:lineRule="auto"/>
        <w:rPr>
          <w:b/>
        </w:rPr>
      </w:pPr>
      <w:r w:rsidRPr="008521DA">
        <w:rPr>
          <w:b/>
        </w:rPr>
        <w:t>Interpretation</w:t>
      </w:r>
      <w:r w:rsidR="006F05A3" w:rsidRPr="008521DA">
        <w:rPr>
          <w:b/>
        </w:rPr>
        <w:br/>
      </w:r>
      <w:r w:rsidR="008521DA" w:rsidRPr="00A2287C">
        <w:rPr>
          <w:b/>
        </w:rPr>
        <w:t>a.  Nature of the association between the </w:t>
      </w:r>
      <w:hyperlink r:id="rId40" w:anchor="Interventions" w:history="1">
        <w:r w:rsidR="008521DA" w:rsidRPr="00A2287C">
          <w:rPr>
            <w:rStyle w:val="Hyperlink"/>
            <w:b/>
          </w:rPr>
          <w:t>intervention(s)</w:t>
        </w:r>
      </w:hyperlink>
      <w:r w:rsidR="008521DA" w:rsidRPr="00A2287C">
        <w:rPr>
          <w:b/>
        </w:rPr>
        <w:t> and the outcomes</w:t>
      </w:r>
    </w:p>
    <w:p w14:paraId="606F2D20" w14:textId="77777777" w:rsidR="008521DA" w:rsidRPr="00A2287C" w:rsidRDefault="008521DA" w:rsidP="008521DA">
      <w:pPr>
        <w:spacing w:after="0" w:line="240" w:lineRule="auto"/>
        <w:rPr>
          <w:b/>
        </w:rPr>
      </w:pPr>
      <w:r w:rsidRPr="00A2287C">
        <w:rPr>
          <w:b/>
        </w:rPr>
        <w:t>b.  Comparison of results with findings from other publications</w:t>
      </w:r>
    </w:p>
    <w:p w14:paraId="24230B47" w14:textId="77777777" w:rsidR="008521DA" w:rsidRPr="00A2287C" w:rsidRDefault="008521DA" w:rsidP="008521DA">
      <w:pPr>
        <w:spacing w:after="0" w:line="240" w:lineRule="auto"/>
        <w:rPr>
          <w:b/>
        </w:rPr>
      </w:pPr>
      <w:r w:rsidRPr="00A2287C">
        <w:rPr>
          <w:b/>
        </w:rPr>
        <w:t>c.  Impact of the project on people and </w:t>
      </w:r>
      <w:hyperlink r:id="rId41" w:anchor="Systems" w:history="1">
        <w:r w:rsidRPr="00A2287C">
          <w:rPr>
            <w:rStyle w:val="Hyperlink"/>
            <w:b/>
          </w:rPr>
          <w:t>systems</w:t>
        </w:r>
      </w:hyperlink>
    </w:p>
    <w:p w14:paraId="6F7476C9" w14:textId="77777777" w:rsidR="008521DA" w:rsidRPr="00A2287C" w:rsidRDefault="008521DA" w:rsidP="008521DA">
      <w:pPr>
        <w:spacing w:after="0" w:line="240" w:lineRule="auto"/>
        <w:rPr>
          <w:b/>
        </w:rPr>
      </w:pPr>
      <w:r w:rsidRPr="00A2287C">
        <w:rPr>
          <w:b/>
        </w:rPr>
        <w:lastRenderedPageBreak/>
        <w:t>d.  Reasons for any differences between observed and anticipated outcomes, including the influence of </w:t>
      </w:r>
      <w:hyperlink r:id="rId42" w:anchor="context" w:history="1">
        <w:r w:rsidRPr="00A2287C">
          <w:rPr>
            <w:rStyle w:val="Hyperlink"/>
            <w:b/>
          </w:rPr>
          <w:t>context</w:t>
        </w:r>
      </w:hyperlink>
    </w:p>
    <w:p w14:paraId="61FDEE9C" w14:textId="77777777" w:rsidR="008521DA" w:rsidRPr="00A2287C" w:rsidRDefault="008521DA" w:rsidP="008521DA">
      <w:pPr>
        <w:spacing w:after="0" w:line="240" w:lineRule="auto"/>
        <w:rPr>
          <w:b/>
        </w:rPr>
      </w:pPr>
      <w:r w:rsidRPr="00A2287C">
        <w:rPr>
          <w:b/>
        </w:rPr>
        <w:t>e.  Costs and strategic trade-offs, including </w:t>
      </w:r>
      <w:hyperlink r:id="rId43" w:anchor="Opportunity_costs" w:history="1">
        <w:r w:rsidRPr="00A2287C">
          <w:rPr>
            <w:rStyle w:val="Hyperlink"/>
            <w:b/>
          </w:rPr>
          <w:t>opportunity costs</w:t>
        </w:r>
      </w:hyperlink>
    </w:p>
    <w:p w14:paraId="38786317" w14:textId="36FDC375" w:rsidR="00A2287C" w:rsidRPr="008521DA" w:rsidRDefault="008258B7" w:rsidP="00A2287C">
      <w:pPr>
        <w:spacing w:after="0" w:line="240" w:lineRule="auto"/>
      </w:pPr>
      <w:r>
        <w:br/>
      </w:r>
      <w:r w:rsidR="009F7C5F">
        <w:t xml:space="preserve">The association between the intervention and the outcomes are inconclusive due to both a barrier in the implementation activities and online activity data collection method. For the workshop data that was collected, </w:t>
      </w:r>
      <w:r w:rsidR="00FA73F5">
        <w:rPr>
          <w:rFonts w:ascii="Calibri" w:hAnsi="Calibri" w:cs="Calibri"/>
        </w:rPr>
        <w:t xml:space="preserve">departure of </w:t>
      </w:r>
      <w:r w:rsidR="009F7C5F">
        <w:rPr>
          <w:rFonts w:ascii="Calibri" w:hAnsi="Calibri" w:cs="Calibri"/>
        </w:rPr>
        <w:t xml:space="preserve">project staff assigned to analyze this data did not allow for </w:t>
      </w:r>
      <w:r w:rsidR="00FA73F5">
        <w:rPr>
          <w:rFonts w:ascii="Calibri" w:hAnsi="Calibri" w:cs="Calibri"/>
        </w:rPr>
        <w:t xml:space="preserve">statistical </w:t>
      </w:r>
      <w:r w:rsidR="00FA73F5" w:rsidRPr="00B76CE7">
        <w:rPr>
          <w:rFonts w:ascii="Calibri" w:hAnsi="Calibri" w:cs="Calibri"/>
        </w:rPr>
        <w:t xml:space="preserve">comparisons </w:t>
      </w:r>
      <w:r w:rsidR="00FA73F5">
        <w:rPr>
          <w:rFonts w:ascii="Calibri" w:hAnsi="Calibri" w:cs="Calibri"/>
        </w:rPr>
        <w:t>of the workshop</w:t>
      </w:r>
      <w:r w:rsidR="009F7C5F">
        <w:rPr>
          <w:rFonts w:ascii="Calibri" w:hAnsi="Calibri" w:cs="Calibri"/>
        </w:rPr>
        <w:t xml:space="preserve"> data. </w:t>
      </w:r>
      <w:r w:rsidR="00FA73F5">
        <w:br/>
      </w:r>
      <w:r>
        <w:br/>
      </w:r>
      <w:r w:rsidR="00A2287C">
        <w:t>The impact of the project is a</w:t>
      </w:r>
      <w:r w:rsidR="00A2287C" w:rsidRPr="008521DA">
        <w:t xml:space="preserve">n estimated 3,600 psoriasis and PsA patients treated during the 12-month period following the </w:t>
      </w:r>
      <w:r w:rsidR="00A2287C">
        <w:t xml:space="preserve">workshop </w:t>
      </w:r>
      <w:r w:rsidR="00A2287C" w:rsidRPr="008521DA">
        <w:t>intervention with learners using the knowledge gained from the  intervention (</w:t>
      </w:r>
      <w:r w:rsidR="00A2287C">
        <w:t xml:space="preserve">a minimum of </w:t>
      </w:r>
      <w:r w:rsidR="00A2287C" w:rsidRPr="008521DA">
        <w:t xml:space="preserve">30 patients/per physician learner/per year x approximately 120 practicing physician learners = 3,600 patients impacted annually).  This number of patients impacted </w:t>
      </w:r>
      <w:r w:rsidR="00A2287C">
        <w:t xml:space="preserve">is anticipated to </w:t>
      </w:r>
      <w:r w:rsidR="00A2287C" w:rsidRPr="008521DA">
        <w:t>increase</w:t>
      </w:r>
      <w:r w:rsidR="00A2287C">
        <w:t xml:space="preserve"> upward</w:t>
      </w:r>
      <w:r w:rsidR="00A2287C" w:rsidRPr="008521DA">
        <w:t xml:space="preserve"> as time progresses and learners continue to treat new patients.</w:t>
      </w:r>
    </w:p>
    <w:p w14:paraId="7B4E84C9" w14:textId="77777777" w:rsidR="008521DA" w:rsidRPr="00A2287C" w:rsidRDefault="007C5183" w:rsidP="008521DA">
      <w:pPr>
        <w:spacing w:after="0" w:line="240" w:lineRule="auto"/>
        <w:rPr>
          <w:b/>
        </w:rPr>
      </w:pPr>
      <w:r>
        <w:br/>
      </w:r>
      <w:r w:rsidR="006F05A3" w:rsidRPr="008521DA">
        <w:rPr>
          <w:b/>
        </w:rPr>
        <w:t>Limitations</w:t>
      </w:r>
      <w:r w:rsidR="006F05A3" w:rsidRPr="008521DA">
        <w:rPr>
          <w:b/>
        </w:rPr>
        <w:br/>
      </w:r>
      <w:r w:rsidR="008521DA" w:rsidRPr="00A2287C">
        <w:rPr>
          <w:b/>
        </w:rPr>
        <w:t>a.  Limits to the </w:t>
      </w:r>
      <w:hyperlink r:id="rId44" w:anchor="Generalizability" w:history="1">
        <w:r w:rsidR="008521DA" w:rsidRPr="00A2287C">
          <w:rPr>
            <w:rStyle w:val="Hyperlink"/>
            <w:b/>
          </w:rPr>
          <w:t>generalizability</w:t>
        </w:r>
      </w:hyperlink>
      <w:r w:rsidR="008521DA" w:rsidRPr="00A2287C">
        <w:rPr>
          <w:b/>
        </w:rPr>
        <w:t> of the work</w:t>
      </w:r>
    </w:p>
    <w:p w14:paraId="0E4900A5" w14:textId="77777777" w:rsidR="008521DA" w:rsidRPr="00A2287C" w:rsidRDefault="008521DA" w:rsidP="008521DA">
      <w:pPr>
        <w:spacing w:after="0" w:line="240" w:lineRule="auto"/>
        <w:rPr>
          <w:b/>
        </w:rPr>
      </w:pPr>
      <w:r w:rsidRPr="00A2287C">
        <w:rPr>
          <w:b/>
        </w:rPr>
        <w:t>b.  Factors that might have limited </w:t>
      </w:r>
      <w:hyperlink r:id="rId45" w:anchor="Internal_validity" w:history="1">
        <w:r w:rsidRPr="00A2287C">
          <w:rPr>
            <w:rStyle w:val="Hyperlink"/>
            <w:b/>
          </w:rPr>
          <w:t>internal validity</w:t>
        </w:r>
      </w:hyperlink>
      <w:r w:rsidRPr="00A2287C">
        <w:rPr>
          <w:b/>
        </w:rPr>
        <w:t> such as confounding, bias, or imprecision in the design, methods, measurement, or analysis</w:t>
      </w:r>
    </w:p>
    <w:p w14:paraId="21AA6387" w14:textId="77777777" w:rsidR="008521DA" w:rsidRPr="00A2287C" w:rsidRDefault="008521DA" w:rsidP="008521DA">
      <w:pPr>
        <w:spacing w:after="0" w:line="240" w:lineRule="auto"/>
        <w:rPr>
          <w:b/>
        </w:rPr>
      </w:pPr>
      <w:r w:rsidRPr="00A2287C">
        <w:rPr>
          <w:b/>
        </w:rPr>
        <w:t>c.  Efforts made to minimize and adjust for limitations</w:t>
      </w:r>
    </w:p>
    <w:p w14:paraId="6FFB3E48" w14:textId="77777777" w:rsidR="008521DA" w:rsidRPr="00A2287C" w:rsidRDefault="007C5183" w:rsidP="008521DA">
      <w:pPr>
        <w:spacing w:after="0" w:line="240" w:lineRule="auto"/>
        <w:rPr>
          <w:b/>
        </w:rPr>
      </w:pPr>
      <w:r>
        <w:br/>
      </w:r>
      <w:r w:rsidR="006F05A3" w:rsidRPr="008521DA">
        <w:rPr>
          <w:b/>
        </w:rPr>
        <w:t>Conclusions</w:t>
      </w:r>
      <w:r w:rsidR="008521DA" w:rsidRPr="008521DA">
        <w:rPr>
          <w:b/>
        </w:rPr>
        <w:br/>
      </w:r>
      <w:r w:rsidR="008521DA" w:rsidRPr="00A2287C">
        <w:rPr>
          <w:b/>
        </w:rPr>
        <w:t>a.  Usefulness of the work</w:t>
      </w:r>
    </w:p>
    <w:p w14:paraId="149142E0" w14:textId="77777777" w:rsidR="008521DA" w:rsidRPr="00A2287C" w:rsidRDefault="008521DA" w:rsidP="008521DA">
      <w:pPr>
        <w:spacing w:after="0" w:line="240" w:lineRule="auto"/>
        <w:rPr>
          <w:b/>
        </w:rPr>
      </w:pPr>
      <w:r w:rsidRPr="00A2287C">
        <w:rPr>
          <w:b/>
        </w:rPr>
        <w:t>b.  Sustainability</w:t>
      </w:r>
    </w:p>
    <w:p w14:paraId="23BF4273" w14:textId="77777777" w:rsidR="008521DA" w:rsidRPr="00A2287C" w:rsidRDefault="008521DA" w:rsidP="008521DA">
      <w:pPr>
        <w:spacing w:after="0" w:line="240" w:lineRule="auto"/>
        <w:rPr>
          <w:b/>
        </w:rPr>
      </w:pPr>
      <w:r w:rsidRPr="00A2287C">
        <w:rPr>
          <w:b/>
        </w:rPr>
        <w:t>c.  Potential for spread to other </w:t>
      </w:r>
      <w:hyperlink r:id="rId46" w:anchor="context" w:history="1">
        <w:r w:rsidRPr="00A2287C">
          <w:rPr>
            <w:rStyle w:val="Hyperlink"/>
            <w:b/>
          </w:rPr>
          <w:t>contexts</w:t>
        </w:r>
      </w:hyperlink>
    </w:p>
    <w:p w14:paraId="7B64FCA8" w14:textId="77777777" w:rsidR="008521DA" w:rsidRPr="00A2287C" w:rsidRDefault="008521DA" w:rsidP="008521DA">
      <w:pPr>
        <w:spacing w:after="0" w:line="240" w:lineRule="auto"/>
        <w:rPr>
          <w:b/>
        </w:rPr>
      </w:pPr>
      <w:r w:rsidRPr="00A2287C">
        <w:rPr>
          <w:b/>
        </w:rPr>
        <w:t>d.  Implications for practice and for further study in the field </w:t>
      </w:r>
      <w:bookmarkStart w:id="27" w:name="other"/>
      <w:bookmarkEnd w:id="27"/>
    </w:p>
    <w:p w14:paraId="6C3DB2CA" w14:textId="77777777" w:rsidR="008521DA" w:rsidRPr="00A2287C" w:rsidRDefault="008521DA" w:rsidP="008521DA">
      <w:pPr>
        <w:spacing w:after="0" w:line="240" w:lineRule="auto"/>
        <w:rPr>
          <w:b/>
        </w:rPr>
      </w:pPr>
      <w:r w:rsidRPr="00A2287C">
        <w:rPr>
          <w:b/>
        </w:rPr>
        <w:t>e.  Suggested next steps</w:t>
      </w:r>
    </w:p>
    <w:p w14:paraId="26B8FF45" w14:textId="445CA06B" w:rsidR="00621DD5" w:rsidRDefault="00621DD5" w:rsidP="00621DD5">
      <w:pPr>
        <w:tabs>
          <w:tab w:val="num" w:pos="1440"/>
        </w:tabs>
        <w:autoSpaceDE w:val="0"/>
        <w:autoSpaceDN w:val="0"/>
        <w:adjustRightInd w:val="0"/>
        <w:rPr>
          <w:rFonts w:cstheme="minorHAnsi"/>
          <w:b/>
        </w:rPr>
      </w:pPr>
      <w:r>
        <w:rPr>
          <w:rFonts w:cstheme="minorHAnsi"/>
        </w:rPr>
        <w:t>In regard to the k</w:t>
      </w:r>
      <w:r w:rsidRPr="000800F2">
        <w:rPr>
          <w:rFonts w:cstheme="minorHAnsi"/>
        </w:rPr>
        <w:t>ey objectives of this project</w:t>
      </w:r>
      <w:r>
        <w:rPr>
          <w:rFonts w:cstheme="minorHAnsi"/>
        </w:rPr>
        <w:t xml:space="preserve">, </w:t>
      </w:r>
      <w:r>
        <w:t xml:space="preserve">learners attending the workshop intervention reported </w:t>
      </w:r>
      <w:r w:rsidRPr="00BB56DD">
        <w:t>increase</w:t>
      </w:r>
      <w:r>
        <w:t>d</w:t>
      </w:r>
      <w:r w:rsidRPr="00BB56DD">
        <w:t xml:space="preserve"> knowledge, competence, and confidence in using assessment tools for psoriasis, PsA, and QOL</w:t>
      </w:r>
      <w:r>
        <w:t xml:space="preserve">. It is felt that this new or </w:t>
      </w:r>
      <w:r w:rsidR="00E52E34">
        <w:t xml:space="preserve">enhanced </w:t>
      </w:r>
      <w:r>
        <w:t>knowledge gained by learners from the educational intervention has and will continue to translate into increased patient treatment satisfaction and QOL for their patients.</w:t>
      </w:r>
      <w:r w:rsidRPr="009F7C5F">
        <w:rPr>
          <w:rFonts w:cstheme="minorHAnsi"/>
        </w:rPr>
        <w:t xml:space="preserve"> </w:t>
      </w:r>
      <w:r>
        <w:t xml:space="preserve">The post workshop implementation activities were not successful. </w:t>
      </w:r>
      <w:r>
        <w:rPr>
          <w:rFonts w:cstheme="minorHAnsi"/>
        </w:rPr>
        <w:t xml:space="preserve">Workshop participants who continued onto the implementation activities were met with a barrier in collecting chart audit data. The project </w:t>
      </w:r>
      <w:r>
        <w:t xml:space="preserve">did not take into consideration the physician’s need to extract specific chart audit data that was not available in the physician’s Electronic Medical Records. This barrier resulted in the inability of the physician to extract the data needed for the chart audit during the baseline, follow-up and online activities. This was impactful as this data was intended to demonstrate successful practice patterns during implementation. </w:t>
      </w:r>
      <w:r>
        <w:rPr>
          <w:rFonts w:cstheme="minorHAnsi"/>
        </w:rPr>
        <w:t xml:space="preserve"> </w:t>
      </w:r>
      <w:r>
        <w:t xml:space="preserve">In hindsight, a pilot of the implementation activity chart data collection tool would have served as useful in identifying this as a weakness that could have been corrected prior to the project. </w:t>
      </w:r>
      <w:r>
        <w:rPr>
          <w:rFonts w:cstheme="minorHAnsi"/>
        </w:rPr>
        <w:t>The impact of this barrier continued as the participant</w:t>
      </w:r>
      <w:r w:rsidR="00E52E34">
        <w:rPr>
          <w:rFonts w:cstheme="minorHAnsi"/>
        </w:rPr>
        <w:t>s</w:t>
      </w:r>
      <w:r>
        <w:rPr>
          <w:rFonts w:cstheme="minorHAnsi"/>
        </w:rPr>
        <w:t xml:space="preserve"> could not complete the entire learning experience without this data. It’s our reasoning that the barrier to completing the project impacted the motivation by the participant to complete the patient recruitment portion of the implementation and online activities. This patient data was designed to measure </w:t>
      </w:r>
      <w:r w:rsidRPr="000800F2">
        <w:rPr>
          <w:rFonts w:cstheme="minorHAnsi"/>
        </w:rPr>
        <w:t>increase</w:t>
      </w:r>
      <w:r>
        <w:rPr>
          <w:rFonts w:cstheme="minorHAnsi"/>
        </w:rPr>
        <w:t>d</w:t>
      </w:r>
      <w:r w:rsidRPr="000800F2">
        <w:rPr>
          <w:rFonts w:cstheme="minorHAnsi"/>
        </w:rPr>
        <w:t xml:space="preserve"> QOL and treatment</w:t>
      </w:r>
      <w:r>
        <w:rPr>
          <w:rFonts w:cstheme="minorHAnsi"/>
        </w:rPr>
        <w:t xml:space="preserve"> </w:t>
      </w:r>
      <w:r w:rsidRPr="000800F2">
        <w:rPr>
          <w:rFonts w:cstheme="minorHAnsi"/>
        </w:rPr>
        <w:t xml:space="preserve">satisfaction as reported by patients with psoriasis and </w:t>
      </w:r>
      <w:r>
        <w:rPr>
          <w:rFonts w:cstheme="minorHAnsi"/>
        </w:rPr>
        <w:t xml:space="preserve">PsA.  Without the chart audit data or patient data, we were unable to meet the last two objectives of the project that would </w:t>
      </w:r>
      <w:r w:rsidRPr="007C01CD">
        <w:t>conclude</w:t>
      </w:r>
      <w:r>
        <w:t xml:space="preserve"> any</w:t>
      </w:r>
      <w:r w:rsidRPr="007C01CD">
        <w:t xml:space="preserve"> </w:t>
      </w:r>
      <w:r>
        <w:t xml:space="preserve">definitive </w:t>
      </w:r>
      <w:r w:rsidRPr="007C01CD">
        <w:t xml:space="preserve">impact of </w:t>
      </w:r>
      <w:r>
        <w:t xml:space="preserve">the </w:t>
      </w:r>
      <w:r w:rsidRPr="007C01CD">
        <w:t>live educational intervention on improved care</w:t>
      </w:r>
      <w:r>
        <w:t xml:space="preserve"> in practice. </w:t>
      </w:r>
    </w:p>
    <w:p w14:paraId="2225BEC7" w14:textId="77777777" w:rsidR="00621DD5" w:rsidRDefault="00621DD5" w:rsidP="00621DD5">
      <w:pPr>
        <w:autoSpaceDE w:val="0"/>
        <w:autoSpaceDN w:val="0"/>
        <w:adjustRightInd w:val="0"/>
        <w:spacing w:after="0" w:line="240" w:lineRule="auto"/>
        <w:rPr>
          <w:i/>
          <w:iCs/>
          <w:u w:val="single"/>
        </w:rPr>
      </w:pPr>
      <w:r>
        <w:rPr>
          <w:iCs/>
        </w:rPr>
        <w:lastRenderedPageBreak/>
        <w:t xml:space="preserve">A second effort was made to collect the data necessary to meet the final two objectives of the project. This alternative research methodology </w:t>
      </w:r>
      <w:r w:rsidRPr="00FE146D">
        <w:rPr>
          <w:iCs/>
        </w:rPr>
        <w:t xml:space="preserve">proposed </w:t>
      </w:r>
      <w:r>
        <w:rPr>
          <w:iCs/>
        </w:rPr>
        <w:t xml:space="preserve">to gather self-reported data on the </w:t>
      </w:r>
      <w:r w:rsidRPr="00FE146D">
        <w:rPr>
          <w:iCs/>
        </w:rPr>
        <w:t>impact the program</w:t>
      </w:r>
      <w:r>
        <w:rPr>
          <w:iCs/>
        </w:rPr>
        <w:t xml:space="preserve"> had on </w:t>
      </w:r>
      <w:r w:rsidRPr="00FE146D">
        <w:rPr>
          <w:iCs/>
        </w:rPr>
        <w:t xml:space="preserve">physician attendees, however; there was a lower than anticipated number of physicians who participated in the </w:t>
      </w:r>
      <w:r>
        <w:rPr>
          <w:iCs/>
        </w:rPr>
        <w:t xml:space="preserve">workshop </w:t>
      </w:r>
      <w:r w:rsidRPr="00FE146D">
        <w:rPr>
          <w:iCs/>
        </w:rPr>
        <w:t>educational intervention.  Because of this low number</w:t>
      </w:r>
      <w:r>
        <w:rPr>
          <w:iCs/>
        </w:rPr>
        <w:t xml:space="preserve"> and the </w:t>
      </w:r>
      <w:r w:rsidRPr="00FE146D">
        <w:rPr>
          <w:iCs/>
        </w:rPr>
        <w:t>length of time since the educational activity</w:t>
      </w:r>
      <w:r>
        <w:rPr>
          <w:iCs/>
        </w:rPr>
        <w:t xml:space="preserve"> had occurred</w:t>
      </w:r>
      <w:r w:rsidRPr="00FE146D">
        <w:rPr>
          <w:iCs/>
        </w:rPr>
        <w:t xml:space="preserve">, it was decided that we would not have sufficient data to support a solid conclusion regarding the impact of the intervention. In particular, we became very concerned that the time lapse between the pre </w:t>
      </w:r>
      <w:r>
        <w:rPr>
          <w:iCs/>
        </w:rPr>
        <w:t xml:space="preserve">- </w:t>
      </w:r>
      <w:r w:rsidRPr="00FE146D">
        <w:rPr>
          <w:iCs/>
        </w:rPr>
        <w:t>post intervention data collected had allowed for a variety of variables impacting practice to distort a final conclusion.</w:t>
      </w:r>
      <w:r>
        <w:rPr>
          <w:iCs/>
        </w:rPr>
        <w:t xml:space="preserve"> </w:t>
      </w:r>
      <w:r w:rsidRPr="001901B0">
        <w:rPr>
          <w:iCs/>
        </w:rPr>
        <w:t xml:space="preserve">The </w:t>
      </w:r>
      <w:r>
        <w:rPr>
          <w:iCs/>
        </w:rPr>
        <w:t xml:space="preserve">measures regarding the </w:t>
      </w:r>
      <w:r w:rsidRPr="001901B0">
        <w:rPr>
          <w:iCs/>
        </w:rPr>
        <w:t>assess</w:t>
      </w:r>
      <w:r>
        <w:rPr>
          <w:iCs/>
        </w:rPr>
        <w:t>ment of</w:t>
      </w:r>
      <w:r w:rsidRPr="001901B0">
        <w:rPr>
          <w:iCs/>
        </w:rPr>
        <w:t xml:space="preserve"> improved patient QOL post intervention</w:t>
      </w:r>
      <w:r>
        <w:rPr>
          <w:iCs/>
        </w:rPr>
        <w:t xml:space="preserve"> was also not realized</w:t>
      </w:r>
      <w:r w:rsidRPr="001901B0">
        <w:rPr>
          <w:iCs/>
        </w:rPr>
        <w:t xml:space="preserve">.  Since AAD does not have direct contact with the patients of our members or the learners, and we had not engaged learners in either the initial or alternative research concepts, we were not able to </w:t>
      </w:r>
      <w:r>
        <w:rPr>
          <w:iCs/>
        </w:rPr>
        <w:t xml:space="preserve">establish a connection between the workshop intervention and impact on patient QOL. </w:t>
      </w:r>
    </w:p>
    <w:p w14:paraId="6E5F4F75" w14:textId="1D14A16D" w:rsidR="00EB0C86" w:rsidRDefault="00EB0C86" w:rsidP="001D5A78">
      <w:pPr>
        <w:autoSpaceDE w:val="0"/>
        <w:autoSpaceDN w:val="0"/>
        <w:adjustRightInd w:val="0"/>
        <w:spacing w:after="0" w:line="240" w:lineRule="auto"/>
        <w:rPr>
          <w:rFonts w:cstheme="minorHAnsi"/>
          <w:b/>
        </w:rPr>
      </w:pPr>
    </w:p>
    <w:p w14:paraId="7D42E567" w14:textId="18E1B525" w:rsidR="00744EF3" w:rsidRPr="00744EF3" w:rsidRDefault="008521DA" w:rsidP="00744EF3">
      <w:pPr>
        <w:spacing w:after="0" w:line="240" w:lineRule="auto"/>
        <w:rPr>
          <w:bCs/>
        </w:rPr>
      </w:pPr>
      <w:r w:rsidRPr="008521DA">
        <w:rPr>
          <w:b/>
        </w:rPr>
        <w:t>Funding</w:t>
      </w:r>
      <w:r w:rsidR="00744EF3">
        <w:rPr>
          <w:b/>
        </w:rPr>
        <w:br/>
      </w:r>
      <w:r w:rsidR="00EB0C86" w:rsidRPr="00EB0C86">
        <w:t>Pfizer</w:t>
      </w:r>
      <w:r w:rsidR="00744EF3">
        <w:rPr>
          <w:b/>
        </w:rPr>
        <w:br/>
      </w:r>
      <w:r w:rsidR="00EB0C86">
        <w:rPr>
          <w:bCs/>
          <w:i/>
          <w:u w:val="single"/>
        </w:rPr>
        <w:br/>
      </w:r>
      <w:r w:rsidR="00744EF3" w:rsidRPr="00EB0C86">
        <w:rPr>
          <w:bCs/>
          <w:i/>
          <w:u w:val="single"/>
        </w:rPr>
        <w:t>References</w:t>
      </w:r>
    </w:p>
    <w:p w14:paraId="0A679A8E" w14:textId="77777777" w:rsidR="00744EF3" w:rsidRPr="00744EF3" w:rsidRDefault="00744EF3" w:rsidP="00744EF3">
      <w:pPr>
        <w:spacing w:after="0" w:line="240" w:lineRule="auto"/>
      </w:pPr>
      <w:r w:rsidRPr="00744EF3">
        <w:t>1. Gelfand JM, Feldman SR, Stern RS, Thomas J, Rolstad T, and Margolis DJ. Determinants</w:t>
      </w:r>
    </w:p>
    <w:p w14:paraId="43A0F00F" w14:textId="77777777" w:rsidR="00744EF3" w:rsidRPr="00744EF3" w:rsidRDefault="00744EF3" w:rsidP="00744EF3">
      <w:pPr>
        <w:spacing w:after="0" w:line="240" w:lineRule="auto"/>
        <w:rPr>
          <w:i/>
          <w:iCs/>
        </w:rPr>
      </w:pPr>
      <w:r w:rsidRPr="00744EF3">
        <w:t xml:space="preserve">of quality of life in patients with psoriasis: a study from the US population. </w:t>
      </w:r>
      <w:r w:rsidRPr="00744EF3">
        <w:rPr>
          <w:i/>
          <w:iCs/>
        </w:rPr>
        <w:t>J Am Acad</w:t>
      </w:r>
    </w:p>
    <w:p w14:paraId="10264B51" w14:textId="77777777" w:rsidR="00744EF3" w:rsidRPr="00744EF3" w:rsidRDefault="00744EF3" w:rsidP="00744EF3">
      <w:pPr>
        <w:spacing w:after="0" w:line="240" w:lineRule="auto"/>
      </w:pPr>
      <w:r w:rsidRPr="00744EF3">
        <w:rPr>
          <w:i/>
          <w:iCs/>
        </w:rPr>
        <w:t xml:space="preserve">Dermatol. </w:t>
      </w:r>
      <w:r w:rsidRPr="00744EF3">
        <w:t>2004;51(5):704-708.</w:t>
      </w:r>
    </w:p>
    <w:p w14:paraId="28240A11" w14:textId="77777777" w:rsidR="00744EF3" w:rsidRPr="00744EF3" w:rsidRDefault="00744EF3" w:rsidP="00744EF3">
      <w:pPr>
        <w:spacing w:after="0" w:line="240" w:lineRule="auto"/>
      </w:pPr>
      <w:r w:rsidRPr="00744EF3">
        <w:t>2. Gottlieb A, Korman NJ, Gordon KB, Feldman SR, Lebwohl M, Koo JY, Van Voorhees AS,</w:t>
      </w:r>
    </w:p>
    <w:p w14:paraId="09A2E507" w14:textId="77777777" w:rsidR="00744EF3" w:rsidRPr="00744EF3" w:rsidRDefault="00744EF3" w:rsidP="00744EF3">
      <w:pPr>
        <w:spacing w:after="0" w:line="240" w:lineRule="auto"/>
      </w:pPr>
      <w:r w:rsidRPr="00744EF3">
        <w:t>Elmets CA, et al. Guidelines of care for the management of psoriasis and psoriatic</w:t>
      </w:r>
    </w:p>
    <w:p w14:paraId="4938EF85" w14:textId="77777777" w:rsidR="00744EF3" w:rsidRPr="00744EF3" w:rsidRDefault="00744EF3" w:rsidP="00744EF3">
      <w:pPr>
        <w:spacing w:after="0" w:line="240" w:lineRule="auto"/>
      </w:pPr>
      <w:r w:rsidRPr="00744EF3">
        <w:t>arthritis: section 2. Psoriatic arthritis: overview and guidelines of care for treatment with</w:t>
      </w:r>
    </w:p>
    <w:p w14:paraId="2849A114" w14:textId="77777777" w:rsidR="00744EF3" w:rsidRPr="00744EF3" w:rsidRDefault="00744EF3" w:rsidP="00744EF3">
      <w:pPr>
        <w:spacing w:after="0" w:line="240" w:lineRule="auto"/>
      </w:pPr>
      <w:r w:rsidRPr="00744EF3">
        <w:t xml:space="preserve">an emphasis on the biologics. </w:t>
      </w:r>
      <w:r w:rsidRPr="00744EF3">
        <w:rPr>
          <w:i/>
          <w:iCs/>
        </w:rPr>
        <w:t xml:space="preserve">J Am Acad Dermatol. </w:t>
      </w:r>
      <w:r w:rsidRPr="00744EF3">
        <w:t>2008;58(5):851-864.</w:t>
      </w:r>
    </w:p>
    <w:p w14:paraId="2BB534FD" w14:textId="77777777" w:rsidR="00744EF3" w:rsidRPr="00744EF3" w:rsidRDefault="00744EF3" w:rsidP="00744EF3">
      <w:pPr>
        <w:spacing w:after="0" w:line="240" w:lineRule="auto"/>
      </w:pPr>
      <w:r w:rsidRPr="00744EF3">
        <w:t>3. Rapp SR, Feldman SR, Exum ML, Fleischer AB, Jr., and Reboussin DM. Psoriasis causes as</w:t>
      </w:r>
    </w:p>
    <w:p w14:paraId="61BE94A4" w14:textId="77777777" w:rsidR="00744EF3" w:rsidRPr="00744EF3" w:rsidRDefault="00744EF3" w:rsidP="00744EF3">
      <w:pPr>
        <w:spacing w:after="0" w:line="240" w:lineRule="auto"/>
      </w:pPr>
      <w:r w:rsidRPr="00744EF3">
        <w:t xml:space="preserve">much disability as other major medical diseases. </w:t>
      </w:r>
      <w:r w:rsidRPr="00744EF3">
        <w:rPr>
          <w:i/>
          <w:iCs/>
        </w:rPr>
        <w:t xml:space="preserve">J Am Acad Dermatol. </w:t>
      </w:r>
      <w:r w:rsidRPr="00744EF3">
        <w:t>1999;41(3 Pt</w:t>
      </w:r>
    </w:p>
    <w:p w14:paraId="67594366" w14:textId="77777777" w:rsidR="00744EF3" w:rsidRPr="00744EF3" w:rsidRDefault="00744EF3" w:rsidP="00744EF3">
      <w:pPr>
        <w:spacing w:after="0" w:line="240" w:lineRule="auto"/>
      </w:pPr>
      <w:r w:rsidRPr="00744EF3">
        <w:t>1):401-407.</w:t>
      </w:r>
    </w:p>
    <w:p w14:paraId="667B8881" w14:textId="77777777" w:rsidR="00744EF3" w:rsidRPr="00744EF3" w:rsidRDefault="00744EF3" w:rsidP="00744EF3">
      <w:pPr>
        <w:spacing w:after="0" w:line="240" w:lineRule="auto"/>
      </w:pPr>
      <w:r w:rsidRPr="00744EF3">
        <w:t>4. Armstrong AW, Robertson AD, Wu J, Schupp C, and Lebwohl MG. Undertreatment,</w:t>
      </w:r>
    </w:p>
    <w:p w14:paraId="2C309EA5" w14:textId="77777777" w:rsidR="00744EF3" w:rsidRPr="00744EF3" w:rsidRDefault="00744EF3" w:rsidP="00744EF3">
      <w:pPr>
        <w:spacing w:after="0" w:line="240" w:lineRule="auto"/>
      </w:pPr>
      <w:r w:rsidRPr="00744EF3">
        <w:t>treatment trends, and treatment dissatisfaction among patients with psoriasis and</w:t>
      </w:r>
    </w:p>
    <w:p w14:paraId="6042FB5A" w14:textId="77777777" w:rsidR="00744EF3" w:rsidRPr="00744EF3" w:rsidRDefault="00744EF3" w:rsidP="00744EF3">
      <w:pPr>
        <w:spacing w:after="0" w:line="240" w:lineRule="auto"/>
      </w:pPr>
      <w:r w:rsidRPr="00744EF3">
        <w:t>psoriatic arthritis in the United States: findings from the National Psoriasis Foundation</w:t>
      </w:r>
    </w:p>
    <w:p w14:paraId="04B19C9E" w14:textId="77777777" w:rsidR="00744EF3" w:rsidRPr="00744EF3" w:rsidRDefault="00744EF3" w:rsidP="00744EF3">
      <w:pPr>
        <w:spacing w:after="0" w:line="240" w:lineRule="auto"/>
      </w:pPr>
      <w:r w:rsidRPr="00744EF3">
        <w:t xml:space="preserve">surveys, 2003-2011. </w:t>
      </w:r>
      <w:r w:rsidRPr="00744EF3">
        <w:rPr>
          <w:i/>
          <w:iCs/>
        </w:rPr>
        <w:t xml:space="preserve">JAMA Dermatol. </w:t>
      </w:r>
      <w:r w:rsidRPr="00744EF3">
        <w:t>2013;149(10):1180-1185.</w:t>
      </w:r>
    </w:p>
    <w:p w14:paraId="2CD2029C" w14:textId="77777777" w:rsidR="00744EF3" w:rsidRPr="00744EF3" w:rsidRDefault="00744EF3" w:rsidP="00744EF3">
      <w:pPr>
        <w:spacing w:after="0" w:line="240" w:lineRule="auto"/>
      </w:pPr>
      <w:r w:rsidRPr="00744EF3">
        <w:t>5. Gelfand JM, Gladman DD, Mease PJ, Smith N, Margolis DJ, Nijsten T, Stern RS, Feldman</w:t>
      </w:r>
    </w:p>
    <w:p w14:paraId="0FBAF0C5" w14:textId="77777777" w:rsidR="00744EF3" w:rsidRPr="00744EF3" w:rsidRDefault="00744EF3" w:rsidP="00744EF3">
      <w:pPr>
        <w:spacing w:after="0" w:line="240" w:lineRule="auto"/>
        <w:rPr>
          <w:i/>
          <w:iCs/>
        </w:rPr>
      </w:pPr>
      <w:r w:rsidRPr="00744EF3">
        <w:t xml:space="preserve">SR, et al. Epidemiology of psoriatic arthritis in the population of the United States. </w:t>
      </w:r>
      <w:r w:rsidRPr="00744EF3">
        <w:rPr>
          <w:i/>
          <w:iCs/>
        </w:rPr>
        <w:t>J Am</w:t>
      </w:r>
    </w:p>
    <w:p w14:paraId="11B35DBB" w14:textId="77777777" w:rsidR="00744EF3" w:rsidRPr="00744EF3" w:rsidRDefault="00744EF3" w:rsidP="00744EF3">
      <w:pPr>
        <w:spacing w:after="0" w:line="240" w:lineRule="auto"/>
      </w:pPr>
      <w:r w:rsidRPr="00744EF3">
        <w:rPr>
          <w:i/>
          <w:iCs/>
        </w:rPr>
        <w:t xml:space="preserve">Acad Dermatol. </w:t>
      </w:r>
      <w:r w:rsidRPr="00744EF3">
        <w:t>2005;53(4):573.</w:t>
      </w:r>
    </w:p>
    <w:p w14:paraId="291F9033" w14:textId="77777777" w:rsidR="00744EF3" w:rsidRPr="00744EF3" w:rsidRDefault="00744EF3" w:rsidP="00744EF3">
      <w:pPr>
        <w:spacing w:after="0" w:line="240" w:lineRule="auto"/>
      </w:pPr>
      <w:r w:rsidRPr="00744EF3">
        <w:t>6. National Psoriasis Foundation. Statistics. Available at:</w:t>
      </w:r>
    </w:p>
    <w:p w14:paraId="3AEBB005" w14:textId="77777777" w:rsidR="00744EF3" w:rsidRPr="00744EF3" w:rsidRDefault="00744EF3" w:rsidP="00744EF3">
      <w:pPr>
        <w:spacing w:after="0" w:line="240" w:lineRule="auto"/>
      </w:pPr>
      <w:r w:rsidRPr="00744EF3">
        <w:t>URL:http://www.psoriasis.org/research/science-of-psoriasis/statistics. Accessed June</w:t>
      </w:r>
    </w:p>
    <w:p w14:paraId="7ECC9232" w14:textId="77777777" w:rsidR="00744EF3" w:rsidRPr="00744EF3" w:rsidRDefault="00744EF3" w:rsidP="00744EF3">
      <w:pPr>
        <w:spacing w:after="0" w:line="240" w:lineRule="auto"/>
      </w:pPr>
      <w:r w:rsidRPr="00744EF3">
        <w:t>16, 2015.</w:t>
      </w:r>
    </w:p>
    <w:p w14:paraId="091174F7" w14:textId="77777777" w:rsidR="00744EF3" w:rsidRPr="00744EF3" w:rsidRDefault="00744EF3" w:rsidP="00744EF3">
      <w:pPr>
        <w:spacing w:after="0" w:line="240" w:lineRule="auto"/>
      </w:pPr>
      <w:r w:rsidRPr="00744EF3">
        <w:t>7. Villani AP, Rouzaud M, Sevrain M, Barnetche T, Paul C, Richard MA, Beylot-Barry M,</w:t>
      </w:r>
    </w:p>
    <w:p w14:paraId="7DC0D150" w14:textId="77777777" w:rsidR="00744EF3" w:rsidRPr="00744EF3" w:rsidRDefault="00744EF3" w:rsidP="00744EF3">
      <w:pPr>
        <w:spacing w:after="0" w:line="240" w:lineRule="auto"/>
      </w:pPr>
      <w:r w:rsidRPr="00744EF3">
        <w:t>Misery L, et al. Prevalence of undiagnosed psoriatic arthritis among psoriasis patients:</w:t>
      </w:r>
    </w:p>
    <w:p w14:paraId="692AE2FF" w14:textId="77777777" w:rsidR="00744EF3" w:rsidRPr="00744EF3" w:rsidRDefault="00744EF3" w:rsidP="00744EF3">
      <w:pPr>
        <w:spacing w:after="0" w:line="240" w:lineRule="auto"/>
      </w:pPr>
      <w:r w:rsidRPr="00744EF3">
        <w:t xml:space="preserve">Systematic review and meta-analysis. </w:t>
      </w:r>
      <w:r w:rsidRPr="00744EF3">
        <w:rPr>
          <w:i/>
          <w:iCs/>
        </w:rPr>
        <w:t xml:space="preserve">J Am Acad Dermatol. </w:t>
      </w:r>
      <w:r w:rsidRPr="00744EF3">
        <w:t>2015;73(2):242-248.</w:t>
      </w:r>
    </w:p>
    <w:p w14:paraId="2D533112" w14:textId="77777777" w:rsidR="00744EF3" w:rsidRPr="00744EF3" w:rsidRDefault="00744EF3" w:rsidP="00744EF3">
      <w:pPr>
        <w:spacing w:after="0" w:line="240" w:lineRule="auto"/>
      </w:pPr>
      <w:r w:rsidRPr="00744EF3">
        <w:t>8. Bhushan R, Lebwohl MG, Gottlieb AB, Boyer K, Hamarstrom E, Korman NJ, Kirsner RS,</w:t>
      </w:r>
    </w:p>
    <w:p w14:paraId="6B8E509C" w14:textId="77777777" w:rsidR="00744EF3" w:rsidRPr="00744EF3" w:rsidRDefault="00744EF3" w:rsidP="00744EF3">
      <w:pPr>
        <w:spacing w:after="0" w:line="240" w:lineRule="auto"/>
      </w:pPr>
      <w:r w:rsidRPr="00744EF3">
        <w:t xml:space="preserve">Sober AJ, et al. Translating Psoriasis Guidelines into Practice. </w:t>
      </w:r>
      <w:r w:rsidRPr="00744EF3">
        <w:rPr>
          <w:i/>
          <w:iCs/>
        </w:rPr>
        <w:t xml:space="preserve">J Am Acad Dermatol. </w:t>
      </w:r>
      <w:r w:rsidRPr="00744EF3">
        <w:t>2015.</w:t>
      </w:r>
    </w:p>
    <w:p w14:paraId="4DB75F0A" w14:textId="77777777" w:rsidR="00744EF3" w:rsidRPr="00744EF3" w:rsidRDefault="00744EF3" w:rsidP="00744EF3">
      <w:pPr>
        <w:spacing w:after="0" w:line="240" w:lineRule="auto"/>
      </w:pPr>
      <w:r w:rsidRPr="00744EF3">
        <w:t>9. Gist DL, Bhushan R, Hamarstrom E, Sluka P, Presta CM, Thompson JS, and Kirsner RS.</w:t>
      </w:r>
    </w:p>
    <w:p w14:paraId="0EC5F1E8" w14:textId="77777777" w:rsidR="00744EF3" w:rsidRPr="00744EF3" w:rsidRDefault="00744EF3" w:rsidP="00744EF3">
      <w:pPr>
        <w:spacing w:after="0" w:line="240" w:lineRule="auto"/>
      </w:pPr>
      <w:r w:rsidRPr="00744EF3">
        <w:t>Impact of a Performance Improvement CME activity on the care and treatment of</w:t>
      </w:r>
    </w:p>
    <w:p w14:paraId="5ADDFAA4" w14:textId="77777777" w:rsidR="00744EF3" w:rsidRPr="00744EF3" w:rsidRDefault="00744EF3" w:rsidP="00744EF3">
      <w:pPr>
        <w:spacing w:after="0" w:line="240" w:lineRule="auto"/>
      </w:pPr>
      <w:r w:rsidRPr="00744EF3">
        <w:t xml:space="preserve">patients with psoriasis. </w:t>
      </w:r>
      <w:r w:rsidRPr="00744EF3">
        <w:rPr>
          <w:i/>
          <w:iCs/>
        </w:rPr>
        <w:t xml:space="preserve">J Am Acad Dermatol. </w:t>
      </w:r>
      <w:r w:rsidRPr="00744EF3">
        <w:t>2015;72(3):516-523.</w:t>
      </w:r>
    </w:p>
    <w:p w14:paraId="10E5499C" w14:textId="77777777" w:rsidR="00744EF3" w:rsidRPr="00744EF3" w:rsidRDefault="00744EF3" w:rsidP="00744EF3">
      <w:pPr>
        <w:spacing w:after="0" w:line="240" w:lineRule="auto"/>
      </w:pPr>
      <w:r w:rsidRPr="00744EF3">
        <w:t>10. Alonso-Sardon M, Iglesias-de-Sena H, Saez-Lorenzo M, Chamorro Fernandez AJ, Salvat-</w:t>
      </w:r>
    </w:p>
    <w:p w14:paraId="4745ABF4" w14:textId="77777777" w:rsidR="00744EF3" w:rsidRPr="00744EF3" w:rsidRDefault="00744EF3" w:rsidP="00744EF3">
      <w:pPr>
        <w:spacing w:after="0" w:line="240" w:lineRule="auto"/>
        <w:rPr>
          <w:i/>
          <w:iCs/>
        </w:rPr>
      </w:pPr>
      <w:r w:rsidRPr="00744EF3">
        <w:t xml:space="preserve">Puig J, and Miron-Canelo JA. B-learning training in the certification of causes of death. </w:t>
      </w:r>
      <w:r w:rsidRPr="00744EF3">
        <w:rPr>
          <w:i/>
          <w:iCs/>
        </w:rPr>
        <w:t>J</w:t>
      </w:r>
    </w:p>
    <w:p w14:paraId="56E29804" w14:textId="77777777" w:rsidR="00744EF3" w:rsidRPr="00744EF3" w:rsidRDefault="00744EF3" w:rsidP="00744EF3">
      <w:pPr>
        <w:spacing w:after="0" w:line="240" w:lineRule="auto"/>
      </w:pPr>
      <w:r w:rsidRPr="00744EF3">
        <w:rPr>
          <w:i/>
          <w:iCs/>
        </w:rPr>
        <w:t xml:space="preserve">Forensic Leg Med. </w:t>
      </w:r>
      <w:r w:rsidRPr="00744EF3">
        <w:t>2015;29:1-5.</w:t>
      </w:r>
    </w:p>
    <w:p w14:paraId="4DEEAC44" w14:textId="77777777" w:rsidR="00744EF3" w:rsidRPr="00744EF3" w:rsidRDefault="00744EF3" w:rsidP="00744EF3">
      <w:pPr>
        <w:spacing w:after="0" w:line="240" w:lineRule="auto"/>
      </w:pPr>
      <w:r w:rsidRPr="00744EF3">
        <w:lastRenderedPageBreak/>
        <w:t>11. Bekkers MJ, Simpson SA, Dunstan F, Hood K, Hare M, Evans J, Butler CC, and Team SS.</w:t>
      </w:r>
    </w:p>
    <w:p w14:paraId="58538C3C" w14:textId="77777777" w:rsidR="00744EF3" w:rsidRPr="00744EF3" w:rsidRDefault="00744EF3" w:rsidP="00744EF3">
      <w:pPr>
        <w:spacing w:after="0" w:line="240" w:lineRule="auto"/>
      </w:pPr>
      <w:r w:rsidRPr="00744EF3">
        <w:t>Enhancing the quality of antibiotic prescribing in primary care: qualitative evaluation of</w:t>
      </w:r>
    </w:p>
    <w:p w14:paraId="1837CA58" w14:textId="77777777" w:rsidR="00744EF3" w:rsidRPr="00744EF3" w:rsidRDefault="00744EF3" w:rsidP="00744EF3">
      <w:pPr>
        <w:spacing w:after="0" w:line="240" w:lineRule="auto"/>
      </w:pPr>
      <w:r w:rsidRPr="00744EF3">
        <w:t xml:space="preserve">a blended learning intervention. </w:t>
      </w:r>
      <w:r w:rsidRPr="00744EF3">
        <w:rPr>
          <w:i/>
          <w:iCs/>
        </w:rPr>
        <w:t xml:space="preserve">BMC Fam Pract. </w:t>
      </w:r>
      <w:r w:rsidRPr="00744EF3">
        <w:t>2010;11:34.</w:t>
      </w:r>
    </w:p>
    <w:p w14:paraId="2F5A3EB4" w14:textId="77777777" w:rsidR="00744EF3" w:rsidRPr="00744EF3" w:rsidRDefault="00744EF3" w:rsidP="00744EF3">
      <w:pPr>
        <w:spacing w:after="0" w:line="240" w:lineRule="auto"/>
      </w:pPr>
      <w:r w:rsidRPr="00744EF3">
        <w:t>12. Costanzo AJ, Ehrhardt B, and Gormly DK. Changing the rhythm of dysrhythmia education</w:t>
      </w:r>
    </w:p>
    <w:p w14:paraId="342443BA" w14:textId="77777777" w:rsidR="00744EF3" w:rsidRPr="00744EF3" w:rsidRDefault="00744EF3" w:rsidP="00744EF3">
      <w:pPr>
        <w:spacing w:after="0" w:line="240" w:lineRule="auto"/>
      </w:pPr>
      <w:r w:rsidRPr="00744EF3">
        <w:t xml:space="preserve">through blended learning. </w:t>
      </w:r>
      <w:r w:rsidRPr="00744EF3">
        <w:rPr>
          <w:i/>
          <w:iCs/>
        </w:rPr>
        <w:t xml:space="preserve">J Nurses Prof Dev. </w:t>
      </w:r>
      <w:r w:rsidRPr="00744EF3">
        <w:t>2013;29(6):305-308.</w:t>
      </w:r>
    </w:p>
    <w:p w14:paraId="6E470338" w14:textId="77777777" w:rsidR="00744EF3" w:rsidRPr="00744EF3" w:rsidRDefault="00744EF3" w:rsidP="00744EF3">
      <w:pPr>
        <w:spacing w:after="0" w:line="240" w:lineRule="auto"/>
      </w:pPr>
      <w:r w:rsidRPr="00744EF3">
        <w:t>13. Vollmar HC, Butzlaff ME, Lefering R, and Rieger MA. Knowledge translation on</w:t>
      </w:r>
    </w:p>
    <w:p w14:paraId="35537494" w14:textId="77777777" w:rsidR="00744EF3" w:rsidRPr="00744EF3" w:rsidRDefault="00744EF3" w:rsidP="00744EF3">
      <w:pPr>
        <w:spacing w:after="0" w:line="240" w:lineRule="auto"/>
      </w:pPr>
      <w:r w:rsidRPr="00744EF3">
        <w:t>dementia: a cluster randomized trial to compare a blended learning approach with a</w:t>
      </w:r>
    </w:p>
    <w:p w14:paraId="5DAC27B5" w14:textId="77777777" w:rsidR="00744EF3" w:rsidRPr="00744EF3" w:rsidRDefault="00744EF3" w:rsidP="00744EF3">
      <w:pPr>
        <w:spacing w:after="0" w:line="240" w:lineRule="auto"/>
      </w:pPr>
      <w:r w:rsidRPr="00744EF3">
        <w:t xml:space="preserve">"classical" advanced training in GP quality circles. </w:t>
      </w:r>
      <w:r w:rsidRPr="00744EF3">
        <w:rPr>
          <w:i/>
          <w:iCs/>
        </w:rPr>
        <w:t xml:space="preserve">BMC Health Serv Res. </w:t>
      </w:r>
      <w:r w:rsidRPr="00744EF3">
        <w:t>2007;7:92.</w:t>
      </w:r>
    </w:p>
    <w:p w14:paraId="307C31B5" w14:textId="77777777" w:rsidR="00744EF3" w:rsidRPr="00744EF3" w:rsidRDefault="00744EF3" w:rsidP="00744EF3">
      <w:pPr>
        <w:spacing w:after="0" w:line="240" w:lineRule="auto"/>
      </w:pPr>
      <w:r w:rsidRPr="00744EF3">
        <w:t>14. Davis DA, Mazmanian PE, Fordis M, Van Harrison R, Thorpe KE, and Perrier L. Accuracy</w:t>
      </w:r>
    </w:p>
    <w:p w14:paraId="278BB643" w14:textId="77777777" w:rsidR="00744EF3" w:rsidRPr="00744EF3" w:rsidRDefault="00744EF3" w:rsidP="00744EF3">
      <w:pPr>
        <w:spacing w:after="0" w:line="240" w:lineRule="auto"/>
      </w:pPr>
      <w:r w:rsidRPr="00744EF3">
        <w:t>of physician self-assessment compared with observed measures of competence: a</w:t>
      </w:r>
    </w:p>
    <w:p w14:paraId="5E232066" w14:textId="35E04F82" w:rsidR="00B21C7F" w:rsidRPr="00744EF3" w:rsidRDefault="00744EF3" w:rsidP="00621DD5">
      <w:pPr>
        <w:autoSpaceDE w:val="0"/>
        <w:autoSpaceDN w:val="0"/>
        <w:adjustRightInd w:val="0"/>
        <w:spacing w:after="0" w:line="240" w:lineRule="auto"/>
      </w:pPr>
      <w:r w:rsidRPr="00744EF3">
        <w:t xml:space="preserve">systematic review. </w:t>
      </w:r>
      <w:r w:rsidRPr="00744EF3">
        <w:rPr>
          <w:i/>
          <w:iCs/>
        </w:rPr>
        <w:t xml:space="preserve">JAMA. </w:t>
      </w:r>
      <w:r w:rsidRPr="00744EF3">
        <w:t>2006;296(9):1094-1102.</w:t>
      </w:r>
      <w:r w:rsidR="000841CA">
        <w:br/>
      </w:r>
      <w:r w:rsidR="000841CA">
        <w:br/>
      </w:r>
    </w:p>
    <w:sectPr w:rsidR="00B21C7F" w:rsidRPr="00744EF3">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21B53" w14:textId="77777777" w:rsidR="00663929" w:rsidRDefault="00663929" w:rsidP="00490AF8">
      <w:pPr>
        <w:spacing w:after="0" w:line="240" w:lineRule="auto"/>
      </w:pPr>
      <w:r>
        <w:separator/>
      </w:r>
    </w:p>
  </w:endnote>
  <w:endnote w:type="continuationSeparator" w:id="0">
    <w:p w14:paraId="29A3F404" w14:textId="77777777" w:rsidR="00663929" w:rsidRDefault="00663929" w:rsidP="0049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344009"/>
      <w:docPartObj>
        <w:docPartGallery w:val="Page Numbers (Bottom of Page)"/>
        <w:docPartUnique/>
      </w:docPartObj>
    </w:sdtPr>
    <w:sdtEndPr>
      <w:rPr>
        <w:noProof/>
      </w:rPr>
    </w:sdtEndPr>
    <w:sdtContent>
      <w:p w14:paraId="0FBA9E87" w14:textId="5E88621A" w:rsidR="00EA4757" w:rsidRDefault="00EA47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946761" w14:textId="77777777" w:rsidR="00EA4757" w:rsidRDefault="00EA4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14C3" w14:textId="77777777" w:rsidR="00663929" w:rsidRDefault="00663929" w:rsidP="00490AF8">
      <w:pPr>
        <w:spacing w:after="0" w:line="240" w:lineRule="auto"/>
      </w:pPr>
      <w:r>
        <w:separator/>
      </w:r>
    </w:p>
  </w:footnote>
  <w:footnote w:type="continuationSeparator" w:id="0">
    <w:p w14:paraId="0913E292" w14:textId="77777777" w:rsidR="00663929" w:rsidRDefault="00663929" w:rsidP="00490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329"/>
    <w:multiLevelType w:val="hybridMultilevel"/>
    <w:tmpl w:val="DE7A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A0F21"/>
    <w:multiLevelType w:val="hybridMultilevel"/>
    <w:tmpl w:val="12084412"/>
    <w:lvl w:ilvl="0" w:tplc="EF42660C">
      <w:start w:val="1"/>
      <w:numFmt w:val="bullet"/>
      <w:lvlText w:val=""/>
      <w:lvlJc w:val="left"/>
      <w:pPr>
        <w:tabs>
          <w:tab w:val="num" w:pos="720"/>
        </w:tabs>
        <w:ind w:left="720" w:hanging="360"/>
      </w:pPr>
      <w:rPr>
        <w:rFonts w:ascii="Wingdings" w:hAnsi="Wingdings" w:hint="default"/>
      </w:rPr>
    </w:lvl>
    <w:lvl w:ilvl="1" w:tplc="52E6DBEC" w:tentative="1">
      <w:start w:val="1"/>
      <w:numFmt w:val="bullet"/>
      <w:lvlText w:val=""/>
      <w:lvlJc w:val="left"/>
      <w:pPr>
        <w:tabs>
          <w:tab w:val="num" w:pos="1440"/>
        </w:tabs>
        <w:ind w:left="1440" w:hanging="360"/>
      </w:pPr>
      <w:rPr>
        <w:rFonts w:ascii="Wingdings" w:hAnsi="Wingdings" w:hint="default"/>
      </w:rPr>
    </w:lvl>
    <w:lvl w:ilvl="2" w:tplc="956018E6" w:tentative="1">
      <w:start w:val="1"/>
      <w:numFmt w:val="bullet"/>
      <w:lvlText w:val=""/>
      <w:lvlJc w:val="left"/>
      <w:pPr>
        <w:tabs>
          <w:tab w:val="num" w:pos="2160"/>
        </w:tabs>
        <w:ind w:left="2160" w:hanging="360"/>
      </w:pPr>
      <w:rPr>
        <w:rFonts w:ascii="Wingdings" w:hAnsi="Wingdings" w:hint="default"/>
      </w:rPr>
    </w:lvl>
    <w:lvl w:ilvl="3" w:tplc="852450CA" w:tentative="1">
      <w:start w:val="1"/>
      <w:numFmt w:val="bullet"/>
      <w:lvlText w:val=""/>
      <w:lvlJc w:val="left"/>
      <w:pPr>
        <w:tabs>
          <w:tab w:val="num" w:pos="2880"/>
        </w:tabs>
        <w:ind w:left="2880" w:hanging="360"/>
      </w:pPr>
      <w:rPr>
        <w:rFonts w:ascii="Wingdings" w:hAnsi="Wingdings" w:hint="default"/>
      </w:rPr>
    </w:lvl>
    <w:lvl w:ilvl="4" w:tplc="AF086AE6" w:tentative="1">
      <w:start w:val="1"/>
      <w:numFmt w:val="bullet"/>
      <w:lvlText w:val=""/>
      <w:lvlJc w:val="left"/>
      <w:pPr>
        <w:tabs>
          <w:tab w:val="num" w:pos="3600"/>
        </w:tabs>
        <w:ind w:left="3600" w:hanging="360"/>
      </w:pPr>
      <w:rPr>
        <w:rFonts w:ascii="Wingdings" w:hAnsi="Wingdings" w:hint="default"/>
      </w:rPr>
    </w:lvl>
    <w:lvl w:ilvl="5" w:tplc="534CFCD0" w:tentative="1">
      <w:start w:val="1"/>
      <w:numFmt w:val="bullet"/>
      <w:lvlText w:val=""/>
      <w:lvlJc w:val="left"/>
      <w:pPr>
        <w:tabs>
          <w:tab w:val="num" w:pos="4320"/>
        </w:tabs>
        <w:ind w:left="4320" w:hanging="360"/>
      </w:pPr>
      <w:rPr>
        <w:rFonts w:ascii="Wingdings" w:hAnsi="Wingdings" w:hint="default"/>
      </w:rPr>
    </w:lvl>
    <w:lvl w:ilvl="6" w:tplc="6BDEB52E" w:tentative="1">
      <w:start w:val="1"/>
      <w:numFmt w:val="bullet"/>
      <w:lvlText w:val=""/>
      <w:lvlJc w:val="left"/>
      <w:pPr>
        <w:tabs>
          <w:tab w:val="num" w:pos="5040"/>
        </w:tabs>
        <w:ind w:left="5040" w:hanging="360"/>
      </w:pPr>
      <w:rPr>
        <w:rFonts w:ascii="Wingdings" w:hAnsi="Wingdings" w:hint="default"/>
      </w:rPr>
    </w:lvl>
    <w:lvl w:ilvl="7" w:tplc="24F2BF74" w:tentative="1">
      <w:start w:val="1"/>
      <w:numFmt w:val="bullet"/>
      <w:lvlText w:val=""/>
      <w:lvlJc w:val="left"/>
      <w:pPr>
        <w:tabs>
          <w:tab w:val="num" w:pos="5760"/>
        </w:tabs>
        <w:ind w:left="5760" w:hanging="360"/>
      </w:pPr>
      <w:rPr>
        <w:rFonts w:ascii="Wingdings" w:hAnsi="Wingdings" w:hint="default"/>
      </w:rPr>
    </w:lvl>
    <w:lvl w:ilvl="8" w:tplc="4E5EC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D264D"/>
    <w:multiLevelType w:val="hybridMultilevel"/>
    <w:tmpl w:val="1A14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B275E"/>
    <w:multiLevelType w:val="hybridMultilevel"/>
    <w:tmpl w:val="E6421AC0"/>
    <w:lvl w:ilvl="0" w:tplc="B60436E0">
      <w:start w:val="1"/>
      <w:numFmt w:val="bullet"/>
      <w:lvlText w:val="–"/>
      <w:lvlJc w:val="left"/>
      <w:pPr>
        <w:tabs>
          <w:tab w:val="num" w:pos="720"/>
        </w:tabs>
        <w:ind w:left="720" w:hanging="360"/>
      </w:pPr>
      <w:rPr>
        <w:rFonts w:ascii="Arial" w:hAnsi="Arial" w:hint="default"/>
      </w:rPr>
    </w:lvl>
    <w:lvl w:ilvl="1" w:tplc="ADF2AA96">
      <w:start w:val="1"/>
      <w:numFmt w:val="bullet"/>
      <w:lvlText w:val="–"/>
      <w:lvlJc w:val="left"/>
      <w:pPr>
        <w:tabs>
          <w:tab w:val="num" w:pos="1440"/>
        </w:tabs>
        <w:ind w:left="1440" w:hanging="360"/>
      </w:pPr>
      <w:rPr>
        <w:rFonts w:ascii="Arial" w:hAnsi="Arial" w:hint="default"/>
      </w:rPr>
    </w:lvl>
    <w:lvl w:ilvl="2" w:tplc="C3EE28D8" w:tentative="1">
      <w:start w:val="1"/>
      <w:numFmt w:val="bullet"/>
      <w:lvlText w:val="–"/>
      <w:lvlJc w:val="left"/>
      <w:pPr>
        <w:tabs>
          <w:tab w:val="num" w:pos="2160"/>
        </w:tabs>
        <w:ind w:left="2160" w:hanging="360"/>
      </w:pPr>
      <w:rPr>
        <w:rFonts w:ascii="Arial" w:hAnsi="Arial" w:hint="default"/>
      </w:rPr>
    </w:lvl>
    <w:lvl w:ilvl="3" w:tplc="2E02588C" w:tentative="1">
      <w:start w:val="1"/>
      <w:numFmt w:val="bullet"/>
      <w:lvlText w:val="–"/>
      <w:lvlJc w:val="left"/>
      <w:pPr>
        <w:tabs>
          <w:tab w:val="num" w:pos="2880"/>
        </w:tabs>
        <w:ind w:left="2880" w:hanging="360"/>
      </w:pPr>
      <w:rPr>
        <w:rFonts w:ascii="Arial" w:hAnsi="Arial" w:hint="default"/>
      </w:rPr>
    </w:lvl>
    <w:lvl w:ilvl="4" w:tplc="60CA907C" w:tentative="1">
      <w:start w:val="1"/>
      <w:numFmt w:val="bullet"/>
      <w:lvlText w:val="–"/>
      <w:lvlJc w:val="left"/>
      <w:pPr>
        <w:tabs>
          <w:tab w:val="num" w:pos="3600"/>
        </w:tabs>
        <w:ind w:left="3600" w:hanging="360"/>
      </w:pPr>
      <w:rPr>
        <w:rFonts w:ascii="Arial" w:hAnsi="Arial" w:hint="default"/>
      </w:rPr>
    </w:lvl>
    <w:lvl w:ilvl="5" w:tplc="8B00E0C8" w:tentative="1">
      <w:start w:val="1"/>
      <w:numFmt w:val="bullet"/>
      <w:lvlText w:val="–"/>
      <w:lvlJc w:val="left"/>
      <w:pPr>
        <w:tabs>
          <w:tab w:val="num" w:pos="4320"/>
        </w:tabs>
        <w:ind w:left="4320" w:hanging="360"/>
      </w:pPr>
      <w:rPr>
        <w:rFonts w:ascii="Arial" w:hAnsi="Arial" w:hint="default"/>
      </w:rPr>
    </w:lvl>
    <w:lvl w:ilvl="6" w:tplc="F2E28048" w:tentative="1">
      <w:start w:val="1"/>
      <w:numFmt w:val="bullet"/>
      <w:lvlText w:val="–"/>
      <w:lvlJc w:val="left"/>
      <w:pPr>
        <w:tabs>
          <w:tab w:val="num" w:pos="5040"/>
        </w:tabs>
        <w:ind w:left="5040" w:hanging="360"/>
      </w:pPr>
      <w:rPr>
        <w:rFonts w:ascii="Arial" w:hAnsi="Arial" w:hint="default"/>
      </w:rPr>
    </w:lvl>
    <w:lvl w:ilvl="7" w:tplc="C0005E38" w:tentative="1">
      <w:start w:val="1"/>
      <w:numFmt w:val="bullet"/>
      <w:lvlText w:val="–"/>
      <w:lvlJc w:val="left"/>
      <w:pPr>
        <w:tabs>
          <w:tab w:val="num" w:pos="5760"/>
        </w:tabs>
        <w:ind w:left="5760" w:hanging="360"/>
      </w:pPr>
      <w:rPr>
        <w:rFonts w:ascii="Arial" w:hAnsi="Arial" w:hint="default"/>
      </w:rPr>
    </w:lvl>
    <w:lvl w:ilvl="8" w:tplc="DD3283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981304"/>
    <w:multiLevelType w:val="hybridMultilevel"/>
    <w:tmpl w:val="74C29420"/>
    <w:lvl w:ilvl="0" w:tplc="3570784A">
      <w:start w:val="1"/>
      <w:numFmt w:val="bullet"/>
      <w:lvlText w:val=""/>
      <w:lvlJc w:val="left"/>
      <w:pPr>
        <w:tabs>
          <w:tab w:val="num" w:pos="720"/>
        </w:tabs>
        <w:ind w:left="720" w:hanging="360"/>
      </w:pPr>
      <w:rPr>
        <w:rFonts w:ascii="Wingdings" w:hAnsi="Wingdings" w:hint="default"/>
      </w:rPr>
    </w:lvl>
    <w:lvl w:ilvl="1" w:tplc="3834900C" w:tentative="1">
      <w:start w:val="1"/>
      <w:numFmt w:val="bullet"/>
      <w:lvlText w:val=""/>
      <w:lvlJc w:val="left"/>
      <w:pPr>
        <w:tabs>
          <w:tab w:val="num" w:pos="1440"/>
        </w:tabs>
        <w:ind w:left="1440" w:hanging="360"/>
      </w:pPr>
      <w:rPr>
        <w:rFonts w:ascii="Wingdings" w:hAnsi="Wingdings" w:hint="default"/>
      </w:rPr>
    </w:lvl>
    <w:lvl w:ilvl="2" w:tplc="7E5CF840" w:tentative="1">
      <w:start w:val="1"/>
      <w:numFmt w:val="bullet"/>
      <w:lvlText w:val=""/>
      <w:lvlJc w:val="left"/>
      <w:pPr>
        <w:tabs>
          <w:tab w:val="num" w:pos="2160"/>
        </w:tabs>
        <w:ind w:left="2160" w:hanging="360"/>
      </w:pPr>
      <w:rPr>
        <w:rFonts w:ascii="Wingdings" w:hAnsi="Wingdings" w:hint="default"/>
      </w:rPr>
    </w:lvl>
    <w:lvl w:ilvl="3" w:tplc="4D38F462" w:tentative="1">
      <w:start w:val="1"/>
      <w:numFmt w:val="bullet"/>
      <w:lvlText w:val=""/>
      <w:lvlJc w:val="left"/>
      <w:pPr>
        <w:tabs>
          <w:tab w:val="num" w:pos="2880"/>
        </w:tabs>
        <w:ind w:left="2880" w:hanging="360"/>
      </w:pPr>
      <w:rPr>
        <w:rFonts w:ascii="Wingdings" w:hAnsi="Wingdings" w:hint="default"/>
      </w:rPr>
    </w:lvl>
    <w:lvl w:ilvl="4" w:tplc="EF52D388" w:tentative="1">
      <w:start w:val="1"/>
      <w:numFmt w:val="bullet"/>
      <w:lvlText w:val=""/>
      <w:lvlJc w:val="left"/>
      <w:pPr>
        <w:tabs>
          <w:tab w:val="num" w:pos="3600"/>
        </w:tabs>
        <w:ind w:left="3600" w:hanging="360"/>
      </w:pPr>
      <w:rPr>
        <w:rFonts w:ascii="Wingdings" w:hAnsi="Wingdings" w:hint="default"/>
      </w:rPr>
    </w:lvl>
    <w:lvl w:ilvl="5" w:tplc="CA64F298" w:tentative="1">
      <w:start w:val="1"/>
      <w:numFmt w:val="bullet"/>
      <w:lvlText w:val=""/>
      <w:lvlJc w:val="left"/>
      <w:pPr>
        <w:tabs>
          <w:tab w:val="num" w:pos="4320"/>
        </w:tabs>
        <w:ind w:left="4320" w:hanging="360"/>
      </w:pPr>
      <w:rPr>
        <w:rFonts w:ascii="Wingdings" w:hAnsi="Wingdings" w:hint="default"/>
      </w:rPr>
    </w:lvl>
    <w:lvl w:ilvl="6" w:tplc="37C01DBE" w:tentative="1">
      <w:start w:val="1"/>
      <w:numFmt w:val="bullet"/>
      <w:lvlText w:val=""/>
      <w:lvlJc w:val="left"/>
      <w:pPr>
        <w:tabs>
          <w:tab w:val="num" w:pos="5040"/>
        </w:tabs>
        <w:ind w:left="5040" w:hanging="360"/>
      </w:pPr>
      <w:rPr>
        <w:rFonts w:ascii="Wingdings" w:hAnsi="Wingdings" w:hint="default"/>
      </w:rPr>
    </w:lvl>
    <w:lvl w:ilvl="7" w:tplc="7A989184" w:tentative="1">
      <w:start w:val="1"/>
      <w:numFmt w:val="bullet"/>
      <w:lvlText w:val=""/>
      <w:lvlJc w:val="left"/>
      <w:pPr>
        <w:tabs>
          <w:tab w:val="num" w:pos="5760"/>
        </w:tabs>
        <w:ind w:left="5760" w:hanging="360"/>
      </w:pPr>
      <w:rPr>
        <w:rFonts w:ascii="Wingdings" w:hAnsi="Wingdings" w:hint="default"/>
      </w:rPr>
    </w:lvl>
    <w:lvl w:ilvl="8" w:tplc="E318B8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44C80"/>
    <w:multiLevelType w:val="hybridMultilevel"/>
    <w:tmpl w:val="548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44B02"/>
    <w:multiLevelType w:val="hybridMultilevel"/>
    <w:tmpl w:val="8AF685D0"/>
    <w:lvl w:ilvl="0" w:tplc="EAD69D56">
      <w:start w:val="1"/>
      <w:numFmt w:val="bullet"/>
      <w:lvlText w:val=""/>
      <w:lvlJc w:val="left"/>
      <w:pPr>
        <w:tabs>
          <w:tab w:val="num" w:pos="720"/>
        </w:tabs>
        <w:ind w:left="720" w:hanging="360"/>
      </w:pPr>
      <w:rPr>
        <w:rFonts w:ascii="Wingdings" w:hAnsi="Wingdings" w:hint="default"/>
      </w:rPr>
    </w:lvl>
    <w:lvl w:ilvl="1" w:tplc="61E2A55E" w:tentative="1">
      <w:start w:val="1"/>
      <w:numFmt w:val="bullet"/>
      <w:lvlText w:val=""/>
      <w:lvlJc w:val="left"/>
      <w:pPr>
        <w:tabs>
          <w:tab w:val="num" w:pos="1440"/>
        </w:tabs>
        <w:ind w:left="1440" w:hanging="360"/>
      </w:pPr>
      <w:rPr>
        <w:rFonts w:ascii="Wingdings" w:hAnsi="Wingdings" w:hint="default"/>
      </w:rPr>
    </w:lvl>
    <w:lvl w:ilvl="2" w:tplc="72EA1B36" w:tentative="1">
      <w:start w:val="1"/>
      <w:numFmt w:val="bullet"/>
      <w:lvlText w:val=""/>
      <w:lvlJc w:val="left"/>
      <w:pPr>
        <w:tabs>
          <w:tab w:val="num" w:pos="2160"/>
        </w:tabs>
        <w:ind w:left="2160" w:hanging="360"/>
      </w:pPr>
      <w:rPr>
        <w:rFonts w:ascii="Wingdings" w:hAnsi="Wingdings" w:hint="default"/>
      </w:rPr>
    </w:lvl>
    <w:lvl w:ilvl="3" w:tplc="4BD6BB6E" w:tentative="1">
      <w:start w:val="1"/>
      <w:numFmt w:val="bullet"/>
      <w:lvlText w:val=""/>
      <w:lvlJc w:val="left"/>
      <w:pPr>
        <w:tabs>
          <w:tab w:val="num" w:pos="2880"/>
        </w:tabs>
        <w:ind w:left="2880" w:hanging="360"/>
      </w:pPr>
      <w:rPr>
        <w:rFonts w:ascii="Wingdings" w:hAnsi="Wingdings" w:hint="default"/>
      </w:rPr>
    </w:lvl>
    <w:lvl w:ilvl="4" w:tplc="EA1A6426" w:tentative="1">
      <w:start w:val="1"/>
      <w:numFmt w:val="bullet"/>
      <w:lvlText w:val=""/>
      <w:lvlJc w:val="left"/>
      <w:pPr>
        <w:tabs>
          <w:tab w:val="num" w:pos="3600"/>
        </w:tabs>
        <w:ind w:left="3600" w:hanging="360"/>
      </w:pPr>
      <w:rPr>
        <w:rFonts w:ascii="Wingdings" w:hAnsi="Wingdings" w:hint="default"/>
      </w:rPr>
    </w:lvl>
    <w:lvl w:ilvl="5" w:tplc="5E007AE0" w:tentative="1">
      <w:start w:val="1"/>
      <w:numFmt w:val="bullet"/>
      <w:lvlText w:val=""/>
      <w:lvlJc w:val="left"/>
      <w:pPr>
        <w:tabs>
          <w:tab w:val="num" w:pos="4320"/>
        </w:tabs>
        <w:ind w:left="4320" w:hanging="360"/>
      </w:pPr>
      <w:rPr>
        <w:rFonts w:ascii="Wingdings" w:hAnsi="Wingdings" w:hint="default"/>
      </w:rPr>
    </w:lvl>
    <w:lvl w:ilvl="6" w:tplc="73C4A9E0" w:tentative="1">
      <w:start w:val="1"/>
      <w:numFmt w:val="bullet"/>
      <w:lvlText w:val=""/>
      <w:lvlJc w:val="left"/>
      <w:pPr>
        <w:tabs>
          <w:tab w:val="num" w:pos="5040"/>
        </w:tabs>
        <w:ind w:left="5040" w:hanging="360"/>
      </w:pPr>
      <w:rPr>
        <w:rFonts w:ascii="Wingdings" w:hAnsi="Wingdings" w:hint="default"/>
      </w:rPr>
    </w:lvl>
    <w:lvl w:ilvl="7" w:tplc="69149160" w:tentative="1">
      <w:start w:val="1"/>
      <w:numFmt w:val="bullet"/>
      <w:lvlText w:val=""/>
      <w:lvlJc w:val="left"/>
      <w:pPr>
        <w:tabs>
          <w:tab w:val="num" w:pos="5760"/>
        </w:tabs>
        <w:ind w:left="5760" w:hanging="360"/>
      </w:pPr>
      <w:rPr>
        <w:rFonts w:ascii="Wingdings" w:hAnsi="Wingdings" w:hint="default"/>
      </w:rPr>
    </w:lvl>
    <w:lvl w:ilvl="8" w:tplc="85A0D38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47"/>
    <w:rsid w:val="00012B2E"/>
    <w:rsid w:val="00023C8F"/>
    <w:rsid w:val="0003279B"/>
    <w:rsid w:val="000403EF"/>
    <w:rsid w:val="000422FF"/>
    <w:rsid w:val="0007360C"/>
    <w:rsid w:val="00076227"/>
    <w:rsid w:val="00076792"/>
    <w:rsid w:val="000800F2"/>
    <w:rsid w:val="000841CA"/>
    <w:rsid w:val="00090AEF"/>
    <w:rsid w:val="00090FA3"/>
    <w:rsid w:val="0009200C"/>
    <w:rsid w:val="000A15AB"/>
    <w:rsid w:val="000A4DBC"/>
    <w:rsid w:val="000C5E90"/>
    <w:rsid w:val="000C6C0D"/>
    <w:rsid w:val="000C78E5"/>
    <w:rsid w:val="000D036A"/>
    <w:rsid w:val="000D4A8F"/>
    <w:rsid w:val="000D7443"/>
    <w:rsid w:val="00127E22"/>
    <w:rsid w:val="00130A41"/>
    <w:rsid w:val="001320D3"/>
    <w:rsid w:val="001473CD"/>
    <w:rsid w:val="00147EB4"/>
    <w:rsid w:val="00153BFB"/>
    <w:rsid w:val="00154D30"/>
    <w:rsid w:val="0015770C"/>
    <w:rsid w:val="00172C22"/>
    <w:rsid w:val="00173CD4"/>
    <w:rsid w:val="00184597"/>
    <w:rsid w:val="001901B0"/>
    <w:rsid w:val="001902D3"/>
    <w:rsid w:val="001A1D63"/>
    <w:rsid w:val="001B0E06"/>
    <w:rsid w:val="001D0852"/>
    <w:rsid w:val="001D1FB7"/>
    <w:rsid w:val="001D5A78"/>
    <w:rsid w:val="001E0626"/>
    <w:rsid w:val="001E3F9C"/>
    <w:rsid w:val="001E4488"/>
    <w:rsid w:val="001F33DB"/>
    <w:rsid w:val="002007DA"/>
    <w:rsid w:val="00222DD7"/>
    <w:rsid w:val="002405AC"/>
    <w:rsid w:val="00244E7A"/>
    <w:rsid w:val="002525A2"/>
    <w:rsid w:val="0025691F"/>
    <w:rsid w:val="00276F6C"/>
    <w:rsid w:val="0028684F"/>
    <w:rsid w:val="0029095B"/>
    <w:rsid w:val="0029717F"/>
    <w:rsid w:val="002B26B2"/>
    <w:rsid w:val="002B2828"/>
    <w:rsid w:val="002C1721"/>
    <w:rsid w:val="002C21B4"/>
    <w:rsid w:val="002E02B5"/>
    <w:rsid w:val="00305B04"/>
    <w:rsid w:val="003074C3"/>
    <w:rsid w:val="00316896"/>
    <w:rsid w:val="003300E4"/>
    <w:rsid w:val="0033669A"/>
    <w:rsid w:val="00374DD9"/>
    <w:rsid w:val="00377931"/>
    <w:rsid w:val="00384197"/>
    <w:rsid w:val="003A6D03"/>
    <w:rsid w:val="003E4E2A"/>
    <w:rsid w:val="004124F2"/>
    <w:rsid w:val="0043166A"/>
    <w:rsid w:val="00432C82"/>
    <w:rsid w:val="0044377E"/>
    <w:rsid w:val="00457E59"/>
    <w:rsid w:val="00475E50"/>
    <w:rsid w:val="00480590"/>
    <w:rsid w:val="004806C9"/>
    <w:rsid w:val="00482B6E"/>
    <w:rsid w:val="00490AF8"/>
    <w:rsid w:val="00492823"/>
    <w:rsid w:val="004A1893"/>
    <w:rsid w:val="004B59D0"/>
    <w:rsid w:val="004B6531"/>
    <w:rsid w:val="004D12CA"/>
    <w:rsid w:val="004E1CE6"/>
    <w:rsid w:val="004F1C26"/>
    <w:rsid w:val="00500103"/>
    <w:rsid w:val="00500852"/>
    <w:rsid w:val="005020D7"/>
    <w:rsid w:val="00513918"/>
    <w:rsid w:val="005347C1"/>
    <w:rsid w:val="00535C0B"/>
    <w:rsid w:val="00541722"/>
    <w:rsid w:val="0054222C"/>
    <w:rsid w:val="00544BD7"/>
    <w:rsid w:val="00554E8A"/>
    <w:rsid w:val="00557809"/>
    <w:rsid w:val="0057537A"/>
    <w:rsid w:val="005D2AAC"/>
    <w:rsid w:val="005E4437"/>
    <w:rsid w:val="006026E0"/>
    <w:rsid w:val="00602E70"/>
    <w:rsid w:val="006123BB"/>
    <w:rsid w:val="00621B8B"/>
    <w:rsid w:val="00621DD5"/>
    <w:rsid w:val="006240AE"/>
    <w:rsid w:val="0063653D"/>
    <w:rsid w:val="00642F62"/>
    <w:rsid w:val="00644965"/>
    <w:rsid w:val="00646DB4"/>
    <w:rsid w:val="0065212A"/>
    <w:rsid w:val="00655910"/>
    <w:rsid w:val="006612C9"/>
    <w:rsid w:val="00663084"/>
    <w:rsid w:val="00663929"/>
    <w:rsid w:val="0067366F"/>
    <w:rsid w:val="0068495B"/>
    <w:rsid w:val="0069525D"/>
    <w:rsid w:val="006A433B"/>
    <w:rsid w:val="006B5616"/>
    <w:rsid w:val="006E5949"/>
    <w:rsid w:val="006E6FD6"/>
    <w:rsid w:val="006F05A3"/>
    <w:rsid w:val="006F073C"/>
    <w:rsid w:val="00700654"/>
    <w:rsid w:val="00733EA3"/>
    <w:rsid w:val="00740596"/>
    <w:rsid w:val="00744EF3"/>
    <w:rsid w:val="00750F4E"/>
    <w:rsid w:val="007510FF"/>
    <w:rsid w:val="00761D94"/>
    <w:rsid w:val="0077124E"/>
    <w:rsid w:val="00786C60"/>
    <w:rsid w:val="00791263"/>
    <w:rsid w:val="00794645"/>
    <w:rsid w:val="007B5BA7"/>
    <w:rsid w:val="007C01CD"/>
    <w:rsid w:val="007C2B5E"/>
    <w:rsid w:val="007C5183"/>
    <w:rsid w:val="007D1DE9"/>
    <w:rsid w:val="007E22E9"/>
    <w:rsid w:val="007E79C7"/>
    <w:rsid w:val="007F1CB0"/>
    <w:rsid w:val="007F3A92"/>
    <w:rsid w:val="007F6237"/>
    <w:rsid w:val="00801CB2"/>
    <w:rsid w:val="008029A7"/>
    <w:rsid w:val="00805B42"/>
    <w:rsid w:val="00810E05"/>
    <w:rsid w:val="00811543"/>
    <w:rsid w:val="008258B7"/>
    <w:rsid w:val="008307CA"/>
    <w:rsid w:val="0085034D"/>
    <w:rsid w:val="008521DA"/>
    <w:rsid w:val="00867C4B"/>
    <w:rsid w:val="00874BFF"/>
    <w:rsid w:val="00892898"/>
    <w:rsid w:val="008970A8"/>
    <w:rsid w:val="008A3B75"/>
    <w:rsid w:val="008A5C8F"/>
    <w:rsid w:val="008C353E"/>
    <w:rsid w:val="008E67E9"/>
    <w:rsid w:val="00900BC6"/>
    <w:rsid w:val="009118D7"/>
    <w:rsid w:val="0094223E"/>
    <w:rsid w:val="00944353"/>
    <w:rsid w:val="009465AB"/>
    <w:rsid w:val="00951764"/>
    <w:rsid w:val="00961B66"/>
    <w:rsid w:val="00972B8C"/>
    <w:rsid w:val="00996548"/>
    <w:rsid w:val="009D6889"/>
    <w:rsid w:val="009F553B"/>
    <w:rsid w:val="009F7C5F"/>
    <w:rsid w:val="00A20155"/>
    <w:rsid w:val="00A2287C"/>
    <w:rsid w:val="00A35801"/>
    <w:rsid w:val="00A374B4"/>
    <w:rsid w:val="00A54F34"/>
    <w:rsid w:val="00A55CEA"/>
    <w:rsid w:val="00A72F9F"/>
    <w:rsid w:val="00A832FC"/>
    <w:rsid w:val="00A91EE3"/>
    <w:rsid w:val="00A92213"/>
    <w:rsid w:val="00AA1120"/>
    <w:rsid w:val="00AB1B4C"/>
    <w:rsid w:val="00AC032A"/>
    <w:rsid w:val="00AC45D7"/>
    <w:rsid w:val="00AD51F8"/>
    <w:rsid w:val="00B0036B"/>
    <w:rsid w:val="00B02C55"/>
    <w:rsid w:val="00B0433C"/>
    <w:rsid w:val="00B21C7F"/>
    <w:rsid w:val="00B3386A"/>
    <w:rsid w:val="00B4411B"/>
    <w:rsid w:val="00B54B5E"/>
    <w:rsid w:val="00B56D73"/>
    <w:rsid w:val="00B60EEE"/>
    <w:rsid w:val="00B634AE"/>
    <w:rsid w:val="00B76CE7"/>
    <w:rsid w:val="00B864C0"/>
    <w:rsid w:val="00B8790C"/>
    <w:rsid w:val="00BB3D1C"/>
    <w:rsid w:val="00BB3FE0"/>
    <w:rsid w:val="00BB56DD"/>
    <w:rsid w:val="00BC69EC"/>
    <w:rsid w:val="00BC7A76"/>
    <w:rsid w:val="00BD438F"/>
    <w:rsid w:val="00BE6268"/>
    <w:rsid w:val="00BF5558"/>
    <w:rsid w:val="00C03604"/>
    <w:rsid w:val="00C04E56"/>
    <w:rsid w:val="00C21911"/>
    <w:rsid w:val="00C40BC9"/>
    <w:rsid w:val="00C4711A"/>
    <w:rsid w:val="00C53A51"/>
    <w:rsid w:val="00C62AF7"/>
    <w:rsid w:val="00C66F40"/>
    <w:rsid w:val="00C67C0C"/>
    <w:rsid w:val="00C8436B"/>
    <w:rsid w:val="00C90694"/>
    <w:rsid w:val="00C97868"/>
    <w:rsid w:val="00CA61E0"/>
    <w:rsid w:val="00CA7622"/>
    <w:rsid w:val="00CB3628"/>
    <w:rsid w:val="00CB664E"/>
    <w:rsid w:val="00CC481C"/>
    <w:rsid w:val="00CC7F3E"/>
    <w:rsid w:val="00CD1117"/>
    <w:rsid w:val="00CD1D32"/>
    <w:rsid w:val="00CD72AC"/>
    <w:rsid w:val="00CE0134"/>
    <w:rsid w:val="00CE1E16"/>
    <w:rsid w:val="00CF1A35"/>
    <w:rsid w:val="00D07A97"/>
    <w:rsid w:val="00D27247"/>
    <w:rsid w:val="00D30865"/>
    <w:rsid w:val="00D55D66"/>
    <w:rsid w:val="00D615AB"/>
    <w:rsid w:val="00D90E04"/>
    <w:rsid w:val="00D91A49"/>
    <w:rsid w:val="00DA7AB5"/>
    <w:rsid w:val="00DC0289"/>
    <w:rsid w:val="00DD6D2C"/>
    <w:rsid w:val="00DE099E"/>
    <w:rsid w:val="00DF26C0"/>
    <w:rsid w:val="00E3278B"/>
    <w:rsid w:val="00E46176"/>
    <w:rsid w:val="00E473A4"/>
    <w:rsid w:val="00E52E34"/>
    <w:rsid w:val="00E6419A"/>
    <w:rsid w:val="00E71088"/>
    <w:rsid w:val="00E757A9"/>
    <w:rsid w:val="00E773E8"/>
    <w:rsid w:val="00E82285"/>
    <w:rsid w:val="00E860E7"/>
    <w:rsid w:val="00EA4757"/>
    <w:rsid w:val="00EA6087"/>
    <w:rsid w:val="00EB0C86"/>
    <w:rsid w:val="00EB5B4F"/>
    <w:rsid w:val="00ED104B"/>
    <w:rsid w:val="00EF3666"/>
    <w:rsid w:val="00EF4F8E"/>
    <w:rsid w:val="00EF61D9"/>
    <w:rsid w:val="00F033D9"/>
    <w:rsid w:val="00F05935"/>
    <w:rsid w:val="00F13C4E"/>
    <w:rsid w:val="00F37F3E"/>
    <w:rsid w:val="00F50304"/>
    <w:rsid w:val="00F54F40"/>
    <w:rsid w:val="00F6071D"/>
    <w:rsid w:val="00F6172C"/>
    <w:rsid w:val="00F7046A"/>
    <w:rsid w:val="00F83EB6"/>
    <w:rsid w:val="00F84B57"/>
    <w:rsid w:val="00F8774E"/>
    <w:rsid w:val="00F91FBF"/>
    <w:rsid w:val="00F95EFF"/>
    <w:rsid w:val="00FA39C4"/>
    <w:rsid w:val="00FA73F5"/>
    <w:rsid w:val="00FC31B9"/>
    <w:rsid w:val="00FC66FD"/>
    <w:rsid w:val="00FD6C9D"/>
    <w:rsid w:val="00FE0E57"/>
    <w:rsid w:val="00FE146D"/>
    <w:rsid w:val="00FE4D5D"/>
    <w:rsid w:val="00FF28BA"/>
    <w:rsid w:val="0F75B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910C"/>
  <w15:chartTrackingRefBased/>
  <w15:docId w15:val="{EDA16D07-646D-4CC1-943B-9DC1E881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07A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61B66"/>
    <w:pPr>
      <w:spacing w:after="120"/>
    </w:pPr>
  </w:style>
  <w:style w:type="character" w:customStyle="1" w:styleId="BodyTextChar">
    <w:name w:val="Body Text Char"/>
    <w:basedOn w:val="DefaultParagraphFont"/>
    <w:link w:val="BodyText"/>
    <w:uiPriority w:val="99"/>
    <w:rsid w:val="00961B66"/>
  </w:style>
  <w:style w:type="paragraph" w:styleId="BalloonText">
    <w:name w:val="Balloon Text"/>
    <w:basedOn w:val="Normal"/>
    <w:link w:val="BalloonTextChar"/>
    <w:uiPriority w:val="99"/>
    <w:semiHidden/>
    <w:unhideWhenUsed/>
    <w:rsid w:val="0096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66"/>
    <w:rPr>
      <w:rFonts w:ascii="Segoe UI" w:hAnsi="Segoe UI" w:cs="Segoe UI"/>
      <w:sz w:val="18"/>
      <w:szCs w:val="18"/>
    </w:rPr>
  </w:style>
  <w:style w:type="paragraph" w:styleId="NormalWeb">
    <w:name w:val="Normal (Web)"/>
    <w:basedOn w:val="Normal"/>
    <w:uiPriority w:val="99"/>
    <w:semiHidden/>
    <w:unhideWhenUsed/>
    <w:rsid w:val="000C6C0D"/>
    <w:rPr>
      <w:rFonts w:ascii="Times New Roman" w:hAnsi="Times New Roman" w:cs="Times New Roman"/>
      <w:sz w:val="24"/>
      <w:szCs w:val="24"/>
    </w:rPr>
  </w:style>
  <w:style w:type="character" w:styleId="Hyperlink">
    <w:name w:val="Hyperlink"/>
    <w:basedOn w:val="DefaultParagraphFont"/>
    <w:uiPriority w:val="99"/>
    <w:unhideWhenUsed/>
    <w:rsid w:val="000C6C0D"/>
    <w:rPr>
      <w:color w:val="0563C1" w:themeColor="hyperlink"/>
      <w:u w:val="single"/>
    </w:rPr>
  </w:style>
  <w:style w:type="character" w:styleId="UnresolvedMention">
    <w:name w:val="Unresolved Mention"/>
    <w:basedOn w:val="DefaultParagraphFont"/>
    <w:uiPriority w:val="99"/>
    <w:semiHidden/>
    <w:unhideWhenUsed/>
    <w:rsid w:val="000C6C0D"/>
    <w:rPr>
      <w:color w:val="605E5C"/>
      <w:shd w:val="clear" w:color="auto" w:fill="E1DFDD"/>
    </w:rPr>
  </w:style>
  <w:style w:type="paragraph" w:styleId="ListParagraph">
    <w:name w:val="List Paragraph"/>
    <w:basedOn w:val="Normal"/>
    <w:uiPriority w:val="34"/>
    <w:qFormat/>
    <w:rsid w:val="00D90E04"/>
    <w:pPr>
      <w:ind w:left="720"/>
      <w:contextualSpacing/>
    </w:pPr>
  </w:style>
  <w:style w:type="paragraph" w:styleId="Header">
    <w:name w:val="header"/>
    <w:basedOn w:val="Normal"/>
    <w:link w:val="HeaderChar"/>
    <w:uiPriority w:val="99"/>
    <w:unhideWhenUsed/>
    <w:rsid w:val="0049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AF8"/>
  </w:style>
  <w:style w:type="paragraph" w:styleId="Footer">
    <w:name w:val="footer"/>
    <w:basedOn w:val="Normal"/>
    <w:link w:val="FooterChar"/>
    <w:uiPriority w:val="99"/>
    <w:unhideWhenUsed/>
    <w:rsid w:val="0049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AF8"/>
  </w:style>
  <w:style w:type="character" w:customStyle="1" w:styleId="Heading3Char">
    <w:name w:val="Heading 3 Char"/>
    <w:basedOn w:val="DefaultParagraphFont"/>
    <w:link w:val="Heading3"/>
    <w:uiPriority w:val="9"/>
    <w:semiHidden/>
    <w:rsid w:val="00D07A9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465AB"/>
    <w:rPr>
      <w:sz w:val="16"/>
      <w:szCs w:val="16"/>
    </w:rPr>
  </w:style>
  <w:style w:type="paragraph" w:styleId="CommentText">
    <w:name w:val="annotation text"/>
    <w:basedOn w:val="Normal"/>
    <w:link w:val="CommentTextChar"/>
    <w:uiPriority w:val="99"/>
    <w:semiHidden/>
    <w:unhideWhenUsed/>
    <w:rsid w:val="009465AB"/>
    <w:pPr>
      <w:spacing w:line="240" w:lineRule="auto"/>
    </w:pPr>
    <w:rPr>
      <w:sz w:val="20"/>
      <w:szCs w:val="20"/>
    </w:rPr>
  </w:style>
  <w:style w:type="character" w:customStyle="1" w:styleId="CommentTextChar">
    <w:name w:val="Comment Text Char"/>
    <w:basedOn w:val="DefaultParagraphFont"/>
    <w:link w:val="CommentText"/>
    <w:uiPriority w:val="99"/>
    <w:semiHidden/>
    <w:rsid w:val="009465AB"/>
    <w:rPr>
      <w:sz w:val="20"/>
      <w:szCs w:val="20"/>
    </w:rPr>
  </w:style>
  <w:style w:type="paragraph" w:styleId="CommentSubject">
    <w:name w:val="annotation subject"/>
    <w:basedOn w:val="CommentText"/>
    <w:next w:val="CommentText"/>
    <w:link w:val="CommentSubjectChar"/>
    <w:uiPriority w:val="99"/>
    <w:semiHidden/>
    <w:unhideWhenUsed/>
    <w:rsid w:val="009465AB"/>
    <w:rPr>
      <w:b/>
      <w:bCs/>
    </w:rPr>
  </w:style>
  <w:style w:type="character" w:customStyle="1" w:styleId="CommentSubjectChar">
    <w:name w:val="Comment Subject Char"/>
    <w:basedOn w:val="CommentTextChar"/>
    <w:link w:val="CommentSubject"/>
    <w:uiPriority w:val="99"/>
    <w:semiHidden/>
    <w:rsid w:val="009465AB"/>
    <w:rPr>
      <w:b/>
      <w:bCs/>
      <w:sz w:val="20"/>
      <w:szCs w:val="20"/>
    </w:rPr>
  </w:style>
  <w:style w:type="character" w:styleId="FollowedHyperlink">
    <w:name w:val="FollowedHyperlink"/>
    <w:basedOn w:val="DefaultParagraphFont"/>
    <w:uiPriority w:val="99"/>
    <w:semiHidden/>
    <w:unhideWhenUsed/>
    <w:rsid w:val="00307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18994">
      <w:bodyDiv w:val="1"/>
      <w:marLeft w:val="0"/>
      <w:marRight w:val="0"/>
      <w:marTop w:val="0"/>
      <w:marBottom w:val="0"/>
      <w:divBdr>
        <w:top w:val="none" w:sz="0" w:space="0" w:color="auto"/>
        <w:left w:val="none" w:sz="0" w:space="0" w:color="auto"/>
        <w:bottom w:val="none" w:sz="0" w:space="0" w:color="auto"/>
        <w:right w:val="none" w:sz="0" w:space="0" w:color="auto"/>
      </w:divBdr>
    </w:div>
    <w:div w:id="678390237">
      <w:bodyDiv w:val="1"/>
      <w:marLeft w:val="0"/>
      <w:marRight w:val="0"/>
      <w:marTop w:val="0"/>
      <w:marBottom w:val="0"/>
      <w:divBdr>
        <w:top w:val="none" w:sz="0" w:space="0" w:color="auto"/>
        <w:left w:val="none" w:sz="0" w:space="0" w:color="auto"/>
        <w:bottom w:val="none" w:sz="0" w:space="0" w:color="auto"/>
        <w:right w:val="none" w:sz="0" w:space="0" w:color="auto"/>
      </w:divBdr>
      <w:divsChild>
        <w:div w:id="49304848">
          <w:marLeft w:val="274"/>
          <w:marRight w:val="0"/>
          <w:marTop w:val="0"/>
          <w:marBottom w:val="0"/>
          <w:divBdr>
            <w:top w:val="none" w:sz="0" w:space="0" w:color="auto"/>
            <w:left w:val="none" w:sz="0" w:space="0" w:color="auto"/>
            <w:bottom w:val="none" w:sz="0" w:space="0" w:color="auto"/>
            <w:right w:val="none" w:sz="0" w:space="0" w:color="auto"/>
          </w:divBdr>
        </w:div>
        <w:div w:id="824705656">
          <w:marLeft w:val="274"/>
          <w:marRight w:val="0"/>
          <w:marTop w:val="0"/>
          <w:marBottom w:val="0"/>
          <w:divBdr>
            <w:top w:val="none" w:sz="0" w:space="0" w:color="auto"/>
            <w:left w:val="none" w:sz="0" w:space="0" w:color="auto"/>
            <w:bottom w:val="none" w:sz="0" w:space="0" w:color="auto"/>
            <w:right w:val="none" w:sz="0" w:space="0" w:color="auto"/>
          </w:divBdr>
        </w:div>
        <w:div w:id="1707683791">
          <w:marLeft w:val="274"/>
          <w:marRight w:val="0"/>
          <w:marTop w:val="0"/>
          <w:marBottom w:val="0"/>
          <w:divBdr>
            <w:top w:val="none" w:sz="0" w:space="0" w:color="auto"/>
            <w:left w:val="none" w:sz="0" w:space="0" w:color="auto"/>
            <w:bottom w:val="none" w:sz="0" w:space="0" w:color="auto"/>
            <w:right w:val="none" w:sz="0" w:space="0" w:color="auto"/>
          </w:divBdr>
        </w:div>
        <w:div w:id="865406806">
          <w:marLeft w:val="274"/>
          <w:marRight w:val="0"/>
          <w:marTop w:val="0"/>
          <w:marBottom w:val="0"/>
          <w:divBdr>
            <w:top w:val="none" w:sz="0" w:space="0" w:color="auto"/>
            <w:left w:val="none" w:sz="0" w:space="0" w:color="auto"/>
            <w:bottom w:val="none" w:sz="0" w:space="0" w:color="auto"/>
            <w:right w:val="none" w:sz="0" w:space="0" w:color="auto"/>
          </w:divBdr>
        </w:div>
        <w:div w:id="1202011022">
          <w:marLeft w:val="274"/>
          <w:marRight w:val="0"/>
          <w:marTop w:val="0"/>
          <w:marBottom w:val="0"/>
          <w:divBdr>
            <w:top w:val="none" w:sz="0" w:space="0" w:color="auto"/>
            <w:left w:val="none" w:sz="0" w:space="0" w:color="auto"/>
            <w:bottom w:val="none" w:sz="0" w:space="0" w:color="auto"/>
            <w:right w:val="none" w:sz="0" w:space="0" w:color="auto"/>
          </w:divBdr>
        </w:div>
        <w:div w:id="256796435">
          <w:marLeft w:val="274"/>
          <w:marRight w:val="0"/>
          <w:marTop w:val="0"/>
          <w:marBottom w:val="0"/>
          <w:divBdr>
            <w:top w:val="none" w:sz="0" w:space="0" w:color="auto"/>
            <w:left w:val="none" w:sz="0" w:space="0" w:color="auto"/>
            <w:bottom w:val="none" w:sz="0" w:space="0" w:color="auto"/>
            <w:right w:val="none" w:sz="0" w:space="0" w:color="auto"/>
          </w:divBdr>
        </w:div>
        <w:div w:id="1015040380">
          <w:marLeft w:val="274"/>
          <w:marRight w:val="0"/>
          <w:marTop w:val="0"/>
          <w:marBottom w:val="0"/>
          <w:divBdr>
            <w:top w:val="none" w:sz="0" w:space="0" w:color="auto"/>
            <w:left w:val="none" w:sz="0" w:space="0" w:color="auto"/>
            <w:bottom w:val="none" w:sz="0" w:space="0" w:color="auto"/>
            <w:right w:val="none" w:sz="0" w:space="0" w:color="auto"/>
          </w:divBdr>
        </w:div>
        <w:div w:id="1499155048">
          <w:marLeft w:val="274"/>
          <w:marRight w:val="0"/>
          <w:marTop w:val="0"/>
          <w:marBottom w:val="0"/>
          <w:divBdr>
            <w:top w:val="none" w:sz="0" w:space="0" w:color="auto"/>
            <w:left w:val="none" w:sz="0" w:space="0" w:color="auto"/>
            <w:bottom w:val="none" w:sz="0" w:space="0" w:color="auto"/>
            <w:right w:val="none" w:sz="0" w:space="0" w:color="auto"/>
          </w:divBdr>
        </w:div>
      </w:divsChild>
    </w:div>
    <w:div w:id="760108647">
      <w:bodyDiv w:val="1"/>
      <w:marLeft w:val="0"/>
      <w:marRight w:val="0"/>
      <w:marTop w:val="0"/>
      <w:marBottom w:val="0"/>
      <w:divBdr>
        <w:top w:val="none" w:sz="0" w:space="0" w:color="auto"/>
        <w:left w:val="none" w:sz="0" w:space="0" w:color="auto"/>
        <w:bottom w:val="none" w:sz="0" w:space="0" w:color="auto"/>
        <w:right w:val="none" w:sz="0" w:space="0" w:color="auto"/>
      </w:divBdr>
    </w:div>
    <w:div w:id="766466258">
      <w:bodyDiv w:val="1"/>
      <w:marLeft w:val="0"/>
      <w:marRight w:val="0"/>
      <w:marTop w:val="0"/>
      <w:marBottom w:val="0"/>
      <w:divBdr>
        <w:top w:val="none" w:sz="0" w:space="0" w:color="auto"/>
        <w:left w:val="none" w:sz="0" w:space="0" w:color="auto"/>
        <w:bottom w:val="none" w:sz="0" w:space="0" w:color="auto"/>
        <w:right w:val="none" w:sz="0" w:space="0" w:color="auto"/>
      </w:divBdr>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
    <w:div w:id="1032343413">
      <w:bodyDiv w:val="1"/>
      <w:marLeft w:val="0"/>
      <w:marRight w:val="0"/>
      <w:marTop w:val="0"/>
      <w:marBottom w:val="0"/>
      <w:divBdr>
        <w:top w:val="none" w:sz="0" w:space="0" w:color="auto"/>
        <w:left w:val="none" w:sz="0" w:space="0" w:color="auto"/>
        <w:bottom w:val="none" w:sz="0" w:space="0" w:color="auto"/>
        <w:right w:val="none" w:sz="0" w:space="0" w:color="auto"/>
      </w:divBdr>
      <w:divsChild>
        <w:div w:id="1034844814">
          <w:marLeft w:val="1166"/>
          <w:marRight w:val="0"/>
          <w:marTop w:val="58"/>
          <w:marBottom w:val="0"/>
          <w:divBdr>
            <w:top w:val="none" w:sz="0" w:space="0" w:color="auto"/>
            <w:left w:val="none" w:sz="0" w:space="0" w:color="auto"/>
            <w:bottom w:val="none" w:sz="0" w:space="0" w:color="auto"/>
            <w:right w:val="none" w:sz="0" w:space="0" w:color="auto"/>
          </w:divBdr>
        </w:div>
      </w:divsChild>
    </w:div>
    <w:div w:id="1032653120">
      <w:bodyDiv w:val="1"/>
      <w:marLeft w:val="0"/>
      <w:marRight w:val="0"/>
      <w:marTop w:val="0"/>
      <w:marBottom w:val="0"/>
      <w:divBdr>
        <w:top w:val="none" w:sz="0" w:space="0" w:color="auto"/>
        <w:left w:val="none" w:sz="0" w:space="0" w:color="auto"/>
        <w:bottom w:val="none" w:sz="0" w:space="0" w:color="auto"/>
        <w:right w:val="none" w:sz="0" w:space="0" w:color="auto"/>
      </w:divBdr>
    </w:div>
    <w:div w:id="1039404177">
      <w:bodyDiv w:val="1"/>
      <w:marLeft w:val="0"/>
      <w:marRight w:val="0"/>
      <w:marTop w:val="0"/>
      <w:marBottom w:val="0"/>
      <w:divBdr>
        <w:top w:val="none" w:sz="0" w:space="0" w:color="auto"/>
        <w:left w:val="none" w:sz="0" w:space="0" w:color="auto"/>
        <w:bottom w:val="none" w:sz="0" w:space="0" w:color="auto"/>
        <w:right w:val="none" w:sz="0" w:space="0" w:color="auto"/>
      </w:divBdr>
    </w:div>
    <w:div w:id="1122727577">
      <w:bodyDiv w:val="1"/>
      <w:marLeft w:val="0"/>
      <w:marRight w:val="0"/>
      <w:marTop w:val="0"/>
      <w:marBottom w:val="0"/>
      <w:divBdr>
        <w:top w:val="none" w:sz="0" w:space="0" w:color="auto"/>
        <w:left w:val="none" w:sz="0" w:space="0" w:color="auto"/>
        <w:bottom w:val="none" w:sz="0" w:space="0" w:color="auto"/>
        <w:right w:val="none" w:sz="0" w:space="0" w:color="auto"/>
      </w:divBdr>
    </w:div>
    <w:div w:id="1205605439">
      <w:bodyDiv w:val="1"/>
      <w:marLeft w:val="0"/>
      <w:marRight w:val="0"/>
      <w:marTop w:val="0"/>
      <w:marBottom w:val="0"/>
      <w:divBdr>
        <w:top w:val="none" w:sz="0" w:space="0" w:color="auto"/>
        <w:left w:val="none" w:sz="0" w:space="0" w:color="auto"/>
        <w:bottom w:val="none" w:sz="0" w:space="0" w:color="auto"/>
        <w:right w:val="none" w:sz="0" w:space="0" w:color="auto"/>
      </w:divBdr>
    </w:div>
    <w:div w:id="1211722885">
      <w:bodyDiv w:val="1"/>
      <w:marLeft w:val="0"/>
      <w:marRight w:val="0"/>
      <w:marTop w:val="0"/>
      <w:marBottom w:val="0"/>
      <w:divBdr>
        <w:top w:val="none" w:sz="0" w:space="0" w:color="auto"/>
        <w:left w:val="none" w:sz="0" w:space="0" w:color="auto"/>
        <w:bottom w:val="none" w:sz="0" w:space="0" w:color="auto"/>
        <w:right w:val="none" w:sz="0" w:space="0" w:color="auto"/>
      </w:divBdr>
    </w:div>
    <w:div w:id="1212687816">
      <w:bodyDiv w:val="1"/>
      <w:marLeft w:val="0"/>
      <w:marRight w:val="0"/>
      <w:marTop w:val="0"/>
      <w:marBottom w:val="0"/>
      <w:divBdr>
        <w:top w:val="none" w:sz="0" w:space="0" w:color="auto"/>
        <w:left w:val="none" w:sz="0" w:space="0" w:color="auto"/>
        <w:bottom w:val="none" w:sz="0" w:space="0" w:color="auto"/>
        <w:right w:val="none" w:sz="0" w:space="0" w:color="auto"/>
      </w:divBdr>
    </w:div>
    <w:div w:id="1316102551">
      <w:bodyDiv w:val="1"/>
      <w:marLeft w:val="0"/>
      <w:marRight w:val="0"/>
      <w:marTop w:val="0"/>
      <w:marBottom w:val="0"/>
      <w:divBdr>
        <w:top w:val="none" w:sz="0" w:space="0" w:color="auto"/>
        <w:left w:val="none" w:sz="0" w:space="0" w:color="auto"/>
        <w:bottom w:val="none" w:sz="0" w:space="0" w:color="auto"/>
        <w:right w:val="none" w:sz="0" w:space="0" w:color="auto"/>
      </w:divBdr>
    </w:div>
    <w:div w:id="1370184174">
      <w:bodyDiv w:val="1"/>
      <w:marLeft w:val="0"/>
      <w:marRight w:val="0"/>
      <w:marTop w:val="0"/>
      <w:marBottom w:val="0"/>
      <w:divBdr>
        <w:top w:val="none" w:sz="0" w:space="0" w:color="auto"/>
        <w:left w:val="none" w:sz="0" w:space="0" w:color="auto"/>
        <w:bottom w:val="none" w:sz="0" w:space="0" w:color="auto"/>
        <w:right w:val="none" w:sz="0" w:space="0" w:color="auto"/>
      </w:divBdr>
    </w:div>
    <w:div w:id="1385055985">
      <w:bodyDiv w:val="1"/>
      <w:marLeft w:val="0"/>
      <w:marRight w:val="0"/>
      <w:marTop w:val="0"/>
      <w:marBottom w:val="0"/>
      <w:divBdr>
        <w:top w:val="none" w:sz="0" w:space="0" w:color="auto"/>
        <w:left w:val="none" w:sz="0" w:space="0" w:color="auto"/>
        <w:bottom w:val="none" w:sz="0" w:space="0" w:color="auto"/>
        <w:right w:val="none" w:sz="0" w:space="0" w:color="auto"/>
      </w:divBdr>
      <w:divsChild>
        <w:div w:id="1156603086">
          <w:marLeft w:val="1166"/>
          <w:marRight w:val="0"/>
          <w:marTop w:val="53"/>
          <w:marBottom w:val="0"/>
          <w:divBdr>
            <w:top w:val="none" w:sz="0" w:space="0" w:color="auto"/>
            <w:left w:val="none" w:sz="0" w:space="0" w:color="auto"/>
            <w:bottom w:val="none" w:sz="0" w:space="0" w:color="auto"/>
            <w:right w:val="none" w:sz="0" w:space="0" w:color="auto"/>
          </w:divBdr>
        </w:div>
        <w:div w:id="495388975">
          <w:marLeft w:val="1166"/>
          <w:marRight w:val="0"/>
          <w:marTop w:val="53"/>
          <w:marBottom w:val="0"/>
          <w:divBdr>
            <w:top w:val="none" w:sz="0" w:space="0" w:color="auto"/>
            <w:left w:val="none" w:sz="0" w:space="0" w:color="auto"/>
            <w:bottom w:val="none" w:sz="0" w:space="0" w:color="auto"/>
            <w:right w:val="none" w:sz="0" w:space="0" w:color="auto"/>
          </w:divBdr>
        </w:div>
        <w:div w:id="383522820">
          <w:marLeft w:val="1166"/>
          <w:marRight w:val="0"/>
          <w:marTop w:val="53"/>
          <w:marBottom w:val="0"/>
          <w:divBdr>
            <w:top w:val="none" w:sz="0" w:space="0" w:color="auto"/>
            <w:left w:val="none" w:sz="0" w:space="0" w:color="auto"/>
            <w:bottom w:val="none" w:sz="0" w:space="0" w:color="auto"/>
            <w:right w:val="none" w:sz="0" w:space="0" w:color="auto"/>
          </w:divBdr>
        </w:div>
      </w:divsChild>
    </w:div>
    <w:div w:id="1452934996">
      <w:bodyDiv w:val="1"/>
      <w:marLeft w:val="0"/>
      <w:marRight w:val="0"/>
      <w:marTop w:val="0"/>
      <w:marBottom w:val="0"/>
      <w:divBdr>
        <w:top w:val="none" w:sz="0" w:space="0" w:color="auto"/>
        <w:left w:val="none" w:sz="0" w:space="0" w:color="auto"/>
        <w:bottom w:val="none" w:sz="0" w:space="0" w:color="auto"/>
        <w:right w:val="none" w:sz="0" w:space="0" w:color="auto"/>
      </w:divBdr>
    </w:div>
    <w:div w:id="1494832600">
      <w:bodyDiv w:val="1"/>
      <w:marLeft w:val="0"/>
      <w:marRight w:val="0"/>
      <w:marTop w:val="0"/>
      <w:marBottom w:val="0"/>
      <w:divBdr>
        <w:top w:val="none" w:sz="0" w:space="0" w:color="auto"/>
        <w:left w:val="none" w:sz="0" w:space="0" w:color="auto"/>
        <w:bottom w:val="none" w:sz="0" w:space="0" w:color="auto"/>
        <w:right w:val="none" w:sz="0" w:space="0" w:color="auto"/>
      </w:divBdr>
    </w:div>
    <w:div w:id="15317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quire-statement.org/index.cfm?fuseaction=page.viewpage&amp;pageid=485" TargetMode="External"/><Relationship Id="rId18" Type="http://schemas.openxmlformats.org/officeDocument/2006/relationships/hyperlink" Target="http://www.squire-statement.org/index.cfm?fuseaction=page.viewpage&amp;pageid=485" TargetMode="External"/><Relationship Id="rId26" Type="http://schemas.openxmlformats.org/officeDocument/2006/relationships/hyperlink" Target="http://www.squire-statement.org/index.cfm?fuseaction=page.viewpage&amp;pageid=485" TargetMode="External"/><Relationship Id="rId39" Type="http://schemas.openxmlformats.org/officeDocument/2006/relationships/hyperlink" Target="http://www.squire-statement.org/index.cfm?fuseaction=page.viewpage&amp;pageid=485" TargetMode="External"/><Relationship Id="rId21" Type="http://schemas.openxmlformats.org/officeDocument/2006/relationships/image" Target="media/image5.emf"/><Relationship Id="rId34" Type="http://schemas.openxmlformats.org/officeDocument/2006/relationships/hyperlink" Target="http://www.squire-statement.org/index.cfm?fuseaction=page.viewpage&amp;pageid=485" TargetMode="External"/><Relationship Id="rId42" Type="http://schemas.openxmlformats.org/officeDocument/2006/relationships/hyperlink" Target="http://www.squire-statement.org/index.cfm?fuseaction=page.viewpage&amp;pageid=485" TargetMode="External"/><Relationship Id="rId47" Type="http://schemas.openxmlformats.org/officeDocument/2006/relationships/footer" Target="footer1.xml"/><Relationship Id="rId7" Type="http://schemas.openxmlformats.org/officeDocument/2006/relationships/hyperlink" Target="http://www.squire-statement.org/index.cfm?fuseaction=page.viewpage&amp;pageid=485" TargetMode="External"/><Relationship Id="rId2" Type="http://schemas.openxmlformats.org/officeDocument/2006/relationships/styles" Target="styles.xml"/><Relationship Id="rId16" Type="http://schemas.openxmlformats.org/officeDocument/2006/relationships/hyperlink" Target="http://www.squire-statement.org/index.cfm?fuseaction=page.viewpage&amp;pageid=485" TargetMode="External"/><Relationship Id="rId29" Type="http://schemas.openxmlformats.org/officeDocument/2006/relationships/hyperlink" Target="http://www.squire-statement.org/index.cfm?fuseaction=page.viewpage&amp;pageid=485" TargetMode="External"/><Relationship Id="rId11" Type="http://schemas.openxmlformats.org/officeDocument/2006/relationships/image" Target="media/image2.png"/><Relationship Id="rId24" Type="http://schemas.openxmlformats.org/officeDocument/2006/relationships/hyperlink" Target="http://www.squire-statement.org/index.cfm?fuseaction=page.viewpage&amp;pageid=485" TargetMode="External"/><Relationship Id="rId32" Type="http://schemas.openxmlformats.org/officeDocument/2006/relationships/hyperlink" Target="http://www.squire-statement.org/index.cfm?fuseaction=page.viewpage&amp;pageid=485" TargetMode="External"/><Relationship Id="rId37" Type="http://schemas.openxmlformats.org/officeDocument/2006/relationships/hyperlink" Target="http://www.squire-statement.org/index.cfm?fuseaction=page.viewpage&amp;pageid=485" TargetMode="External"/><Relationship Id="rId40" Type="http://schemas.openxmlformats.org/officeDocument/2006/relationships/hyperlink" Target="http://www.squire-statement.org/index.cfm?fuseaction=page.viewpage&amp;pageid=485" TargetMode="External"/><Relationship Id="rId45" Type="http://schemas.openxmlformats.org/officeDocument/2006/relationships/hyperlink" Target="http://www.squire-statement.org/index.cfm?fuseaction=page.viewpage&amp;pageid=485" TargetMode="External"/><Relationship Id="rId5" Type="http://schemas.openxmlformats.org/officeDocument/2006/relationships/footnotes" Target="footnotes.xml"/><Relationship Id="rId15" Type="http://schemas.openxmlformats.org/officeDocument/2006/relationships/hyperlink" Target="http://www.squire-statement.org/index.cfm?fuseaction=page.viewpage&amp;pageid=485" TargetMode="External"/><Relationship Id="rId23" Type="http://schemas.openxmlformats.org/officeDocument/2006/relationships/image" Target="media/image7.emf"/><Relationship Id="rId28" Type="http://schemas.openxmlformats.org/officeDocument/2006/relationships/image" Target="media/image8.emf"/><Relationship Id="rId36" Type="http://schemas.openxmlformats.org/officeDocument/2006/relationships/hyperlink" Target="http://www.squire-statement.org/index.cfm?fuseaction=page.viewpage&amp;pageid=485"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emf"/><Relationship Id="rId31" Type="http://schemas.openxmlformats.org/officeDocument/2006/relationships/hyperlink" Target="http://www.squire-statement.org/index.cfm?fuseaction=page.viewpage&amp;pageid=485" TargetMode="External"/><Relationship Id="rId44" Type="http://schemas.openxmlformats.org/officeDocument/2006/relationships/hyperlink" Target="http://www.squire-statement.org/index.cfm?fuseaction=page.viewpage&amp;pageid=485" TargetMode="External"/><Relationship Id="rId4" Type="http://schemas.openxmlformats.org/officeDocument/2006/relationships/webSettings" Target="webSettings.xml"/><Relationship Id="rId9" Type="http://schemas.openxmlformats.org/officeDocument/2006/relationships/hyperlink" Target="http://www.squire-statement.org/index.cfm?fuseaction=page.viewpage&amp;pageid=485" TargetMode="External"/><Relationship Id="rId14" Type="http://schemas.openxmlformats.org/officeDocument/2006/relationships/hyperlink" Target="http://squire.citysoft.org/index.cfm?fuseaction=page.viewPage&amp;pageID=485&amp;nodeID=1" TargetMode="External"/><Relationship Id="rId22" Type="http://schemas.openxmlformats.org/officeDocument/2006/relationships/image" Target="media/image6.emf"/><Relationship Id="rId27" Type="http://schemas.openxmlformats.org/officeDocument/2006/relationships/hyperlink" Target="http://www.squire-statement.org/index.cfm?fuseaction=page.viewpage&amp;pageid=485" TargetMode="External"/><Relationship Id="rId30" Type="http://schemas.openxmlformats.org/officeDocument/2006/relationships/hyperlink" Target="http://www.squire-statement.org/index.cfm?fuseaction=page.viewpage&amp;pageid=485" TargetMode="External"/><Relationship Id="rId35" Type="http://schemas.openxmlformats.org/officeDocument/2006/relationships/hyperlink" Target="http://www.squire-statement.org/index.cfm?fuseaction=page.viewpage&amp;pageid=485" TargetMode="External"/><Relationship Id="rId43" Type="http://schemas.openxmlformats.org/officeDocument/2006/relationships/hyperlink" Target="http://www.squire-statement.org/index.cfm?fuseaction=page.viewpage&amp;pageid=485" TargetMode="External"/><Relationship Id="rId48" Type="http://schemas.openxmlformats.org/officeDocument/2006/relationships/fontTable" Target="fontTable.xml"/><Relationship Id="rId8" Type="http://schemas.openxmlformats.org/officeDocument/2006/relationships/hyperlink" Target="http://www.squire-statement.org/index.cfm?fuseaction=page.viewpage&amp;pageid=485" TargetMode="External"/><Relationship Id="rId3" Type="http://schemas.openxmlformats.org/officeDocument/2006/relationships/settings" Target="settings.xml"/><Relationship Id="rId12" Type="http://schemas.openxmlformats.org/officeDocument/2006/relationships/hyperlink" Target="http://www.squire-statement.org/index.cfm?fuseaction=page.viewpage&amp;pageid=485" TargetMode="External"/><Relationship Id="rId17" Type="http://schemas.openxmlformats.org/officeDocument/2006/relationships/hyperlink" Target="http://www.squire-statement.org/index.cfm?fuseaction=page.viewpage&amp;pageid=485" TargetMode="External"/><Relationship Id="rId25" Type="http://schemas.openxmlformats.org/officeDocument/2006/relationships/hyperlink" Target="http://www.squire-statement.org/index.cfm?fuseaction=page.viewpage&amp;pageid=485" TargetMode="External"/><Relationship Id="rId33" Type="http://schemas.openxmlformats.org/officeDocument/2006/relationships/hyperlink" Target="http://www.squire-statement.org/index.cfm?fuseaction=page.viewpage&amp;pageid=485" TargetMode="External"/><Relationship Id="rId38" Type="http://schemas.openxmlformats.org/officeDocument/2006/relationships/image" Target="media/image9.png"/><Relationship Id="rId46" Type="http://schemas.openxmlformats.org/officeDocument/2006/relationships/hyperlink" Target="http://www.squire-statement.org/index.cfm?fuseaction=page.viewpage&amp;pageid=485" TargetMode="External"/><Relationship Id="rId20" Type="http://schemas.openxmlformats.org/officeDocument/2006/relationships/image" Target="media/image4.emf"/><Relationship Id="rId41" Type="http://schemas.openxmlformats.org/officeDocument/2006/relationships/hyperlink" Target="http://www.squire-statement.org/index.cfm?fuseaction=page.viewpage&amp;pageid=485"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8747</Words>
  <Characters>49861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Thiessen</dc:creator>
  <cp:keywords/>
  <dc:description/>
  <cp:lastModifiedBy>Li, Yang (Leon)</cp:lastModifiedBy>
  <cp:revision>2</cp:revision>
  <cp:lastPrinted>2019-05-07T15:09:00Z</cp:lastPrinted>
  <dcterms:created xsi:type="dcterms:W3CDTF">2019-09-29T09:18:00Z</dcterms:created>
  <dcterms:modified xsi:type="dcterms:W3CDTF">2019-09-29T09:18:00Z</dcterms:modified>
</cp:coreProperties>
</file>